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A" w:rsidRDefault="00D5118A" w:rsidP="00D5118A">
      <w:pPr>
        <w:rPr>
          <w:b/>
          <w:sz w:val="36"/>
          <w:szCs w:val="36"/>
        </w:rPr>
      </w:pPr>
      <w:r>
        <w:rPr>
          <w:b/>
          <w:sz w:val="36"/>
          <w:szCs w:val="36"/>
        </w:rPr>
        <w:t>Poisoning</w:t>
      </w:r>
    </w:p>
    <w:p w:rsidR="00D5118A" w:rsidRDefault="00D5118A" w:rsidP="00D5118A">
      <w:pPr>
        <w:rPr>
          <w:b/>
          <w:sz w:val="36"/>
          <w:szCs w:val="36"/>
        </w:rPr>
      </w:pPr>
    </w:p>
    <w:p w:rsidR="00D5118A" w:rsidRPr="00AF23CF" w:rsidRDefault="00D5118A" w:rsidP="00D5118A">
      <w:pPr>
        <w:rPr>
          <w:b/>
        </w:rPr>
      </w:pPr>
      <w:r w:rsidRPr="0035510E">
        <w:rPr>
          <w:b/>
        </w:rPr>
        <w:t>1</w:t>
      </w:r>
      <w:r>
        <w:rPr>
          <w:b/>
        </w:rPr>
        <w:t>:</w:t>
      </w:r>
      <w:r>
        <w:t xml:space="preserve"> </w:t>
      </w:r>
      <w:r w:rsidRPr="00AF23CF">
        <w:rPr>
          <w:b/>
        </w:rPr>
        <w:t>As part of well-child care, discuss preventing and treating poisoning with parents (e.g., “child-proofing”, poison control number).</w:t>
      </w:r>
    </w:p>
    <w:p w:rsidR="00D5118A" w:rsidRDefault="00D5118A" w:rsidP="00D5118A">
      <w:pPr>
        <w:numPr>
          <w:ilvl w:val="0"/>
          <w:numId w:val="1"/>
        </w:numPr>
      </w:pPr>
      <w:r>
        <w:t xml:space="preserve">Keep items locked and out of reach/sight.  Don’t refer to medicine as “candy”.  Keep meds in their original containers with safety </w:t>
      </w:r>
      <w:proofErr w:type="gramStart"/>
      <w:r>
        <w:t>lids,</w:t>
      </w:r>
      <w:proofErr w:type="gramEnd"/>
      <w:r>
        <w:t xml:space="preserve"> don’t put them in food containers.  Don’t take meds in view of children.  More danger of children getting poisoned away from home (ie friends/family).  </w:t>
      </w:r>
    </w:p>
    <w:p w:rsidR="00D5118A" w:rsidRDefault="00D5118A" w:rsidP="00D5118A">
      <w:pPr>
        <w:numPr>
          <w:ilvl w:val="0"/>
          <w:numId w:val="1"/>
        </w:numPr>
      </w:pPr>
      <w:r>
        <w:t>Most commonly ingested substances are personal care products, analgesics, and cleaning products.  Most commonly causing fatalities are analgesics, batteries, hydrocarbons, and plants.</w:t>
      </w:r>
    </w:p>
    <w:p w:rsidR="00D5118A" w:rsidRDefault="00D5118A" w:rsidP="00D5118A">
      <w:pPr>
        <w:numPr>
          <w:ilvl w:val="0"/>
          <w:numId w:val="1"/>
        </w:numPr>
      </w:pPr>
      <w:r>
        <w:t xml:space="preserve">Highly hazardous medications include iron supplements, TCAs, Cardio meds, methyl saliclyate, hydrocarbons, pesticides, sulfonylureas, CCBs, toxic alcohols, clonidine, and opioids.  </w:t>
      </w:r>
    </w:p>
    <w:p w:rsidR="00D5118A" w:rsidRDefault="00D5118A" w:rsidP="00D5118A"/>
    <w:p w:rsidR="00D5118A" w:rsidRDefault="00D5118A" w:rsidP="00D5118A">
      <w:r w:rsidRPr="0035510E">
        <w:rPr>
          <w:b/>
        </w:rPr>
        <w:t>2:</w:t>
      </w:r>
      <w:r>
        <w:t xml:space="preserve"> </w:t>
      </w:r>
      <w:r w:rsidRPr="00AF23CF">
        <w:rPr>
          <w:b/>
        </w:rPr>
        <w:t>In intentional poisonings (overdose) think about multi-toxin ingestion</w:t>
      </w:r>
      <w:r>
        <w:t>.</w:t>
      </w:r>
    </w:p>
    <w:p w:rsidR="00D5118A" w:rsidRDefault="00D5118A" w:rsidP="00D5118A">
      <w:pPr>
        <w:numPr>
          <w:ilvl w:val="0"/>
          <w:numId w:val="2"/>
        </w:numPr>
      </w:pPr>
      <w:r>
        <w:t>Remember, patient’s history is often unreliable – use collateral sources (paramedics, police, family, friends, pharmacist)</w:t>
      </w:r>
    </w:p>
    <w:p w:rsidR="00D5118A" w:rsidRDefault="00D5118A" w:rsidP="00D5118A">
      <w:pPr>
        <w:numPr>
          <w:ilvl w:val="0"/>
          <w:numId w:val="2"/>
        </w:numPr>
      </w:pPr>
      <w:r>
        <w:t>Remember to ask about OTC meds, family/friends medications that might be in the house.</w:t>
      </w:r>
    </w:p>
    <w:p w:rsidR="00D5118A" w:rsidRDefault="00D5118A" w:rsidP="00D5118A">
      <w:pPr>
        <w:numPr>
          <w:ilvl w:val="0"/>
          <w:numId w:val="2"/>
        </w:numPr>
      </w:pPr>
      <w:r>
        <w:t>Regularly screen over dose patients for presence of Acetaminophen, Salicylates with blood work</w:t>
      </w:r>
    </w:p>
    <w:p w:rsidR="00D5118A" w:rsidRDefault="00D5118A" w:rsidP="00D5118A">
      <w:pPr>
        <w:numPr>
          <w:ilvl w:val="0"/>
          <w:numId w:val="2"/>
        </w:numPr>
      </w:pPr>
      <w:r>
        <w:t>Urine drug screen</w:t>
      </w:r>
    </w:p>
    <w:p w:rsidR="00D5118A" w:rsidRDefault="00D5118A" w:rsidP="00D5118A">
      <w:pPr>
        <w:ind w:left="360"/>
      </w:pPr>
    </w:p>
    <w:p w:rsidR="00D5118A" w:rsidRPr="00AF23CF" w:rsidRDefault="00D5118A" w:rsidP="00D5118A">
      <w:pPr>
        <w:rPr>
          <w:b/>
        </w:rPr>
      </w:pPr>
      <w:r w:rsidRPr="0035510E">
        <w:rPr>
          <w:b/>
        </w:rPr>
        <w:t>3</w:t>
      </w:r>
      <w:r>
        <w:t xml:space="preserve">: </w:t>
      </w:r>
      <w:r w:rsidRPr="00AF23CF">
        <w:rPr>
          <w:b/>
        </w:rPr>
        <w:t>When assessing a patient with a potentially toxic ingestion, take a careful history about the timing and nature of the ingestion.</w:t>
      </w:r>
    </w:p>
    <w:p w:rsidR="00D5118A" w:rsidRDefault="00D5118A" w:rsidP="00D5118A">
      <w:pPr>
        <w:numPr>
          <w:ilvl w:val="0"/>
          <w:numId w:val="2"/>
        </w:numPr>
      </w:pPr>
      <w:r>
        <w:t>Remember, patient’s history is often unreliable – use collateral sources.</w:t>
      </w:r>
    </w:p>
    <w:p w:rsidR="00D5118A" w:rsidRDefault="00D5118A" w:rsidP="00D5118A">
      <w:pPr>
        <w:numPr>
          <w:ilvl w:val="0"/>
          <w:numId w:val="2"/>
        </w:numPr>
      </w:pPr>
      <w:r>
        <w:t xml:space="preserve">GI decontamination has greatest benefit within 1 hour of ingestion, however, history often unreliable.  Risk outweighs benefit if truly delayed presentation.  </w:t>
      </w:r>
    </w:p>
    <w:p w:rsidR="00D5118A" w:rsidRDefault="00D5118A" w:rsidP="00D5118A">
      <w:pPr>
        <w:numPr>
          <w:ilvl w:val="0"/>
          <w:numId w:val="2"/>
        </w:numPr>
      </w:pPr>
      <w:r>
        <w:t>Ask about past history, chronic meds.</w:t>
      </w:r>
    </w:p>
    <w:p w:rsidR="00D5118A" w:rsidRDefault="00D5118A" w:rsidP="00D5118A">
      <w:pPr>
        <w:numPr>
          <w:ilvl w:val="0"/>
          <w:numId w:val="2"/>
        </w:numPr>
      </w:pPr>
      <w:r>
        <w:t>Assume “worst case scenario”</w:t>
      </w:r>
    </w:p>
    <w:p w:rsidR="00D5118A" w:rsidRDefault="00D5118A" w:rsidP="00D5118A">
      <w:pPr>
        <w:rPr>
          <w:b/>
        </w:rPr>
      </w:pPr>
    </w:p>
    <w:p w:rsidR="00D5118A" w:rsidRPr="00AF23CF" w:rsidRDefault="00D5118A" w:rsidP="00D5118A">
      <w:pPr>
        <w:rPr>
          <w:b/>
        </w:rPr>
      </w:pPr>
      <w:r w:rsidRPr="0035510E">
        <w:rPr>
          <w:b/>
        </w:rPr>
        <w:t>4</w:t>
      </w:r>
      <w:r>
        <w:t xml:space="preserve">: </w:t>
      </w:r>
      <w:r w:rsidRPr="00AF23CF">
        <w:rPr>
          <w:b/>
        </w:rPr>
        <w:t xml:space="preserve">When assessing a patient with a potential poisoning, do a focused physical </w:t>
      </w:r>
      <w:r>
        <w:rPr>
          <w:b/>
        </w:rPr>
        <w:t>e</w:t>
      </w:r>
      <w:r w:rsidRPr="00AF23CF">
        <w:rPr>
          <w:b/>
        </w:rPr>
        <w:t>xamination to look for the signs of toxidromes.</w:t>
      </w:r>
    </w:p>
    <w:p w:rsidR="00D5118A" w:rsidRDefault="00D5118A" w:rsidP="00D5118A">
      <w:pPr>
        <w:numPr>
          <w:ilvl w:val="0"/>
          <w:numId w:val="2"/>
        </w:numPr>
      </w:pPr>
      <w:r>
        <w:t xml:space="preserve">Focus on vital signs, mental status, </w:t>
      </w:r>
      <w:proofErr w:type="gramStart"/>
      <w:r>
        <w:t>pupils</w:t>
      </w:r>
      <w:proofErr w:type="gramEnd"/>
      <w:r>
        <w:t xml:space="preserve"> (miosis, mydriasis, or nystagmus).  Track pulse oximetry, cardiac monitoring, and ECG findings.  Obtain IV access, C-spine stabilization if trauma suspected.  Intubation may be required if patient unable to protect their airway, follow ACLS protocols.  O2 PRN, IV fluids.</w:t>
      </w:r>
    </w:p>
    <w:p w:rsidR="00D5118A" w:rsidRDefault="00D5118A" w:rsidP="00D5118A">
      <w:pPr>
        <w:numPr>
          <w:ilvl w:val="0"/>
          <w:numId w:val="2"/>
        </w:numPr>
      </w:pPr>
      <w:r>
        <w:t xml:space="preserve">Physiological excitation: mydriasis, tachycardia, hypertension, tachypnea, </w:t>
      </w:r>
      <w:proofErr w:type="gramStart"/>
      <w:r>
        <w:t>hyperthermia</w:t>
      </w:r>
      <w:proofErr w:type="gramEnd"/>
      <w:r>
        <w:t xml:space="preserve"> (caused by anticholinergics, sympathomimetics, hallucinogens, or drug withdrawl).  </w:t>
      </w:r>
    </w:p>
    <w:p w:rsidR="00D5118A" w:rsidRDefault="00D5118A" w:rsidP="00D5118A">
      <w:pPr>
        <w:numPr>
          <w:ilvl w:val="0"/>
          <w:numId w:val="2"/>
        </w:numPr>
      </w:pPr>
      <w:r>
        <w:t xml:space="preserve">Pysiological depression: miosis, depressed mental status, hypotension, bradycardia, shallow breathing, </w:t>
      </w:r>
      <w:proofErr w:type="gramStart"/>
      <w:r>
        <w:t>hypothermia (caused by cholinergic, sympatholytic, opiates, alcohols, or sedative-hypnotics.</w:t>
      </w:r>
      <w:proofErr w:type="gramEnd"/>
      <w:r>
        <w:t xml:space="preserve">  </w:t>
      </w:r>
    </w:p>
    <w:p w:rsidR="00D5118A" w:rsidRDefault="00D5118A" w:rsidP="00D5118A">
      <w:pPr>
        <w:numPr>
          <w:ilvl w:val="0"/>
          <w:numId w:val="2"/>
        </w:numPr>
      </w:pPr>
      <w:r>
        <w:lastRenderedPageBreak/>
        <w:t xml:space="preserve">Mixed – think polydrug, hypoglycemics, toxic alcohols, heavy metals, antiarrhythmics, TCAs.  </w:t>
      </w:r>
    </w:p>
    <w:p w:rsidR="00D5118A" w:rsidRDefault="00D5118A" w:rsidP="00D5118A">
      <w:pPr>
        <w:numPr>
          <w:ilvl w:val="0"/>
          <w:numId w:val="2"/>
        </w:numPr>
      </w:pPr>
      <w:r>
        <w:t xml:space="preserve">Raised anion gap (Na – (Cl + HCO3) – MUDPILES – Methanol/Metformin, Uremia, Diabetic/Starvation/Alcoholic Ketoacidosis, Paraldehyde/Poisons, Iron/Isoniazid, Lactic Acidosis (cyanide, carbon monoxide, sulfides), Ethylene glycol, Salicylates/Sympathomimetics.  </w:t>
      </w:r>
    </w:p>
    <w:p w:rsidR="00D5118A" w:rsidRDefault="00D5118A" w:rsidP="00D5118A">
      <w:pPr>
        <w:rPr>
          <w:b/>
        </w:rPr>
      </w:pPr>
    </w:p>
    <w:p w:rsidR="00D5118A" w:rsidRPr="00AF23CF" w:rsidRDefault="00D5118A" w:rsidP="00D5118A">
      <w:pPr>
        <w:rPr>
          <w:b/>
        </w:rPr>
      </w:pPr>
      <w:r w:rsidRPr="0035510E">
        <w:rPr>
          <w:b/>
        </w:rPr>
        <w:t>5</w:t>
      </w:r>
      <w:r>
        <w:t>:</w:t>
      </w:r>
      <w:r w:rsidRPr="0035510E">
        <w:t xml:space="preserve"> </w:t>
      </w:r>
      <w:r w:rsidRPr="00AF23CF">
        <w:rPr>
          <w:b/>
        </w:rPr>
        <w:t>When assessing a patient exposed (contact or ingestion) to a substance, clarify the consequences of the exposure (e.g., don’t assume it is non-toxic, call poison control).</w:t>
      </w:r>
    </w:p>
    <w:p w:rsidR="00D5118A" w:rsidRDefault="00D5118A" w:rsidP="00D5118A">
      <w:pPr>
        <w:ind w:left="360"/>
      </w:pPr>
    </w:p>
    <w:p w:rsidR="00D5118A" w:rsidRPr="00AF23CF" w:rsidRDefault="00D5118A" w:rsidP="00D5118A">
      <w:pPr>
        <w:rPr>
          <w:b/>
        </w:rPr>
      </w:pPr>
      <w:r w:rsidRPr="0035510E">
        <w:rPr>
          <w:b/>
        </w:rPr>
        <w:t>6</w:t>
      </w:r>
      <w:r>
        <w:t xml:space="preserve">: </w:t>
      </w:r>
      <w:r w:rsidRPr="00AF23CF">
        <w:rPr>
          <w:b/>
        </w:rPr>
        <w:t>When managing a toxic ingestion, utilize poison control</w:t>
      </w:r>
      <w:r>
        <w:rPr>
          <w:b/>
        </w:rPr>
        <w:t xml:space="preserve"> </w:t>
      </w:r>
      <w:r w:rsidRPr="00AF23CF">
        <w:rPr>
          <w:b/>
        </w:rPr>
        <w:t>protocols that are current.</w:t>
      </w:r>
    </w:p>
    <w:p w:rsidR="00D5118A" w:rsidRDefault="00D5118A" w:rsidP="00D5118A">
      <w:pPr>
        <w:numPr>
          <w:ilvl w:val="0"/>
          <w:numId w:val="2"/>
        </w:numPr>
      </w:pPr>
      <w:r>
        <w:t>O2, Naloxone, Thiamine and Glucose for altered LOC.  (</w:t>
      </w:r>
      <w:proofErr w:type="gramStart"/>
      <w:r>
        <w:t>note</w:t>
      </w:r>
      <w:proofErr w:type="gramEnd"/>
      <w:r>
        <w:t xml:space="preserve">, doesn’t matter order of thiamine/glucose).  </w:t>
      </w:r>
    </w:p>
    <w:p w:rsidR="00D5118A" w:rsidRPr="00105BFD" w:rsidRDefault="00D5118A" w:rsidP="00D5118A">
      <w:pPr>
        <w:numPr>
          <w:ilvl w:val="0"/>
          <w:numId w:val="2"/>
        </w:numPr>
      </w:pPr>
      <w:r>
        <w:t xml:space="preserve">All patients should have Lytes, BUN, Creatinine, Urinalysis, Acetaminophen, Salicylates, and glucose.  Sick patients should add </w:t>
      </w:r>
      <w:r w:rsidRPr="00105BFD">
        <w:rPr>
          <w:color w:val="000000"/>
          <w:shd w:val="clear" w:color="auto" w:fill="FFFFFF"/>
        </w:rPr>
        <w:t>serum osmolality, ketones, creatine kinase, liver function tests, amylase, calcium, and magnesium</w:t>
      </w:r>
      <w:r>
        <w:rPr>
          <w:color w:val="000000"/>
          <w:shd w:val="clear" w:color="auto" w:fill="FFFFFF"/>
        </w:rPr>
        <w:t>.  BHCG in sick women of childbearing age.  Depending on patient, can also add ABGs, urine crystals, etc.</w:t>
      </w:r>
    </w:p>
    <w:p w:rsidR="00D5118A" w:rsidRPr="00BD4EF0" w:rsidRDefault="00D5118A" w:rsidP="00D5118A">
      <w:pPr>
        <w:numPr>
          <w:ilvl w:val="0"/>
          <w:numId w:val="2"/>
        </w:numPr>
      </w:pPr>
      <w:r>
        <w:rPr>
          <w:color w:val="000000"/>
          <w:shd w:val="clear" w:color="auto" w:fill="FFFFFF"/>
        </w:rPr>
        <w:t xml:space="preserve">Irrigate with water/saline for topical exposures. </w:t>
      </w:r>
    </w:p>
    <w:p w:rsidR="00D5118A" w:rsidRPr="00AF23CF" w:rsidRDefault="00D5118A" w:rsidP="00D5118A">
      <w:pPr>
        <w:numPr>
          <w:ilvl w:val="0"/>
          <w:numId w:val="2"/>
        </w:numPr>
      </w:pPr>
      <w:r>
        <w:rPr>
          <w:color w:val="000000"/>
          <w:shd w:val="clear" w:color="auto" w:fill="FFFFFF"/>
        </w:rPr>
        <w:t xml:space="preserve">Activated charcoal for decontamination (1g/kg mixed with water as a slurry).  Activated charcoal superior to ipecac or gastric lavage.  Contraindicated in patients with bowel obstruction, perforated </w:t>
      </w:r>
      <w:proofErr w:type="gramStart"/>
      <w:r>
        <w:rPr>
          <w:color w:val="000000"/>
          <w:shd w:val="clear" w:color="auto" w:fill="FFFFFF"/>
        </w:rPr>
        <w:t>bowel,</w:t>
      </w:r>
      <w:proofErr w:type="gramEnd"/>
      <w:r>
        <w:rPr>
          <w:color w:val="000000"/>
          <w:shd w:val="clear" w:color="auto" w:fill="FFFFFF"/>
        </w:rPr>
        <w:t xml:space="preserve"> decreased LOC (until intubated).  Hydrocarbons not bound by AC, risks</w:t>
      </w:r>
    </w:p>
    <w:p w:rsidR="00D5118A" w:rsidRPr="00AF23CF" w:rsidRDefault="00D5118A" w:rsidP="00D5118A">
      <w:pPr>
        <w:numPr>
          <w:ilvl w:val="0"/>
          <w:numId w:val="2"/>
        </w:numPr>
      </w:pPr>
      <w:r>
        <w:rPr>
          <w:color w:val="000000"/>
          <w:shd w:val="clear" w:color="auto" w:fill="FFFFFF"/>
        </w:rPr>
        <w:t xml:space="preserve">Hemodialysis (esp. for salicylates, ethylene glycol, methanol, lithium, acidosis or hyperkalemia).  </w:t>
      </w:r>
    </w:p>
    <w:p w:rsidR="00D5118A" w:rsidRPr="00AF23CF" w:rsidRDefault="00D5118A" w:rsidP="00D5118A">
      <w:pPr>
        <w:numPr>
          <w:ilvl w:val="0"/>
          <w:numId w:val="2"/>
        </w:numPr>
      </w:pPr>
      <w:r>
        <w:rPr>
          <w:color w:val="000000"/>
          <w:shd w:val="clear" w:color="auto" w:fill="FFFFFF"/>
        </w:rPr>
        <w:t>Most patients with toxic ingestions should be observed for 6 hours in the ED.  Pts with moderate to severe toxicity should go to the ICU.</w:t>
      </w:r>
    </w:p>
    <w:p w:rsidR="00D5118A" w:rsidRPr="00105BFD" w:rsidRDefault="00D5118A" w:rsidP="00D5118A">
      <w:pPr>
        <w:numPr>
          <w:ilvl w:val="0"/>
          <w:numId w:val="2"/>
        </w:numPr>
      </w:pPr>
      <w:r>
        <w:rPr>
          <w:color w:val="000000"/>
          <w:shd w:val="clear" w:color="auto" w:fill="FFFFFF"/>
        </w:rPr>
        <w:t>All patients with overdose require psych risk assessment</w:t>
      </w:r>
    </w:p>
    <w:p w:rsidR="00D5118A" w:rsidRPr="00105BFD" w:rsidRDefault="00D5118A" w:rsidP="00D5118A">
      <w:pPr>
        <w:numPr>
          <w:ilvl w:val="0"/>
          <w:numId w:val="2"/>
        </w:numPr>
      </w:pPr>
      <w:r>
        <w:rPr>
          <w:color w:val="000000"/>
          <w:shd w:val="clear" w:color="auto" w:fill="FFFFFF"/>
        </w:rPr>
        <w:t xml:space="preserve">Antidotes: </w:t>
      </w:r>
    </w:p>
    <w:p w:rsidR="00D5118A" w:rsidRPr="00105BFD" w:rsidRDefault="00D5118A" w:rsidP="00D5118A">
      <w:pPr>
        <w:numPr>
          <w:ilvl w:val="1"/>
          <w:numId w:val="2"/>
        </w:numPr>
      </w:pPr>
      <w:r>
        <w:rPr>
          <w:color w:val="000000"/>
          <w:shd w:val="clear" w:color="auto" w:fill="FFFFFF"/>
        </w:rPr>
        <w:t>Naloxone for opioids</w:t>
      </w:r>
    </w:p>
    <w:p w:rsidR="00D5118A" w:rsidRDefault="00D5118A" w:rsidP="00D5118A">
      <w:pPr>
        <w:numPr>
          <w:ilvl w:val="1"/>
          <w:numId w:val="2"/>
        </w:numPr>
      </w:pPr>
      <w:r>
        <w:t>Flumazenil for benzos</w:t>
      </w:r>
    </w:p>
    <w:p w:rsidR="00D5118A" w:rsidRDefault="00D5118A" w:rsidP="00D5118A">
      <w:pPr>
        <w:numPr>
          <w:ilvl w:val="1"/>
          <w:numId w:val="2"/>
        </w:numPr>
      </w:pPr>
      <w:r>
        <w:t>N-Acetylcystine for Tylenol (based on 4 hour or greater nomogram) Almost 100% effective if given within first 8-10 hours.</w:t>
      </w:r>
    </w:p>
    <w:p w:rsidR="00D5118A" w:rsidRDefault="00D5118A" w:rsidP="00D5118A">
      <w:pPr>
        <w:numPr>
          <w:ilvl w:val="1"/>
          <w:numId w:val="2"/>
        </w:numPr>
      </w:pPr>
      <w:r>
        <w:t>Urine alkylinization, glucose for ASA, Phenobarbital</w:t>
      </w:r>
    </w:p>
    <w:p w:rsidR="00D5118A" w:rsidRPr="00105BFD" w:rsidRDefault="00D5118A" w:rsidP="00D5118A">
      <w:pPr>
        <w:numPr>
          <w:ilvl w:val="1"/>
          <w:numId w:val="2"/>
        </w:numPr>
      </w:pPr>
      <w:r>
        <w:t>Fomipazole/Ethanol, folic acid, +/</w:t>
      </w:r>
      <w:proofErr w:type="gramStart"/>
      <w:r>
        <w:t>-  pyridoxine</w:t>
      </w:r>
      <w:proofErr w:type="gramEnd"/>
      <w:r>
        <w:t xml:space="preserve"> for toxic alcohols</w:t>
      </w:r>
    </w:p>
    <w:p w:rsidR="00D5118A" w:rsidRDefault="00D5118A" w:rsidP="00D5118A">
      <w:pPr>
        <w:rPr>
          <w:b/>
        </w:rPr>
      </w:pPr>
    </w:p>
    <w:p w:rsidR="00D5118A" w:rsidRPr="00AF23CF" w:rsidRDefault="00D5118A" w:rsidP="00D5118A">
      <w:pPr>
        <w:rPr>
          <w:b/>
        </w:rPr>
      </w:pPr>
      <w:r w:rsidRPr="00AF23CF">
        <w:rPr>
          <w:b/>
        </w:rPr>
        <w:t>7: When managing a patient with a poisoning,</w:t>
      </w:r>
    </w:p>
    <w:p w:rsidR="00D5118A" w:rsidRPr="00AF23CF" w:rsidRDefault="00D5118A" w:rsidP="00D5118A">
      <w:pPr>
        <w:rPr>
          <w:b/>
        </w:rPr>
      </w:pPr>
      <w:r w:rsidRPr="00AF23CF">
        <w:rPr>
          <w:b/>
        </w:rPr>
        <w:t>a) Assess ABC's,</w:t>
      </w:r>
    </w:p>
    <w:p w:rsidR="00D5118A" w:rsidRPr="00AF23CF" w:rsidRDefault="00D5118A" w:rsidP="00D5118A">
      <w:pPr>
        <w:rPr>
          <w:b/>
        </w:rPr>
      </w:pPr>
      <w:r w:rsidRPr="00AF23CF">
        <w:rPr>
          <w:b/>
        </w:rPr>
        <w:t>b) Manage ABC's, Clinical Reasoning Treatment</w:t>
      </w:r>
    </w:p>
    <w:p w:rsidR="00D5118A" w:rsidRPr="00AF23CF" w:rsidRDefault="00D5118A" w:rsidP="00D5118A">
      <w:pPr>
        <w:rPr>
          <w:b/>
        </w:rPr>
      </w:pPr>
      <w:r w:rsidRPr="00AF23CF">
        <w:rPr>
          <w:b/>
        </w:rPr>
        <w:t xml:space="preserve">c) Regularly reassess the patient’s ABC’s (i.e., do not focus </w:t>
      </w:r>
    </w:p>
    <w:p w:rsidR="00D5118A" w:rsidRPr="00AF23CF" w:rsidRDefault="00D5118A" w:rsidP="00D5118A">
      <w:pPr>
        <w:rPr>
          <w:b/>
        </w:rPr>
      </w:pPr>
      <w:proofErr w:type="gramStart"/>
      <w:r w:rsidRPr="00AF23CF">
        <w:rPr>
          <w:b/>
        </w:rPr>
        <w:t>on</w:t>
      </w:r>
      <w:proofErr w:type="gramEnd"/>
      <w:r w:rsidRPr="00AF23CF">
        <w:rPr>
          <w:b/>
        </w:rPr>
        <w:t xml:space="preserve"> antidotes and decontamination while ignoring the effect of </w:t>
      </w:r>
    </w:p>
    <w:p w:rsidR="00D5118A" w:rsidRPr="00AF23CF" w:rsidRDefault="00D5118A" w:rsidP="00D5118A">
      <w:pPr>
        <w:rPr>
          <w:b/>
        </w:rPr>
      </w:pPr>
      <w:proofErr w:type="gramStart"/>
      <w:r w:rsidRPr="00AF23CF">
        <w:rPr>
          <w:b/>
        </w:rPr>
        <w:t>the</w:t>
      </w:r>
      <w:proofErr w:type="gramEnd"/>
      <w:r w:rsidRPr="00AF23CF">
        <w:rPr>
          <w:b/>
        </w:rPr>
        <w:t xml:space="preserve"> poisoning on the patient).</w:t>
      </w:r>
    </w:p>
    <w:p w:rsidR="00D5118A" w:rsidRDefault="00D5118A" w:rsidP="00D5118A"/>
    <w:p w:rsidR="00D5118A" w:rsidRPr="00AF23CF" w:rsidRDefault="00D5118A" w:rsidP="00D5118A">
      <w:pPr>
        <w:rPr>
          <w:b/>
        </w:rPr>
      </w:pPr>
      <w:r w:rsidRPr="00AF23CF">
        <w:rPr>
          <w:b/>
        </w:rPr>
        <w:t xml:space="preserve">References: </w:t>
      </w:r>
    </w:p>
    <w:p w:rsidR="00D5118A" w:rsidRDefault="00D5118A" w:rsidP="00D5118A">
      <w:pPr>
        <w:numPr>
          <w:ilvl w:val="0"/>
          <w:numId w:val="3"/>
        </w:numPr>
      </w:pPr>
      <w:r>
        <w:t>UpToDate: Decontamination of Poisoned adults, General approach to drug poisoning in adults, Prevention of Poisoning in Children</w:t>
      </w:r>
    </w:p>
    <w:p w:rsidR="00193D8D" w:rsidRDefault="00D5118A" w:rsidP="00D5118A">
      <w:pPr>
        <w:numPr>
          <w:ilvl w:val="0"/>
          <w:numId w:val="3"/>
        </w:numPr>
      </w:pPr>
      <w:r>
        <w:t>McMaster Module: Poisoning</w:t>
      </w:r>
      <w:bookmarkStart w:id="0" w:name="_GoBack"/>
      <w:bookmarkEnd w:id="0"/>
    </w:p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CFF"/>
    <w:multiLevelType w:val="hybridMultilevel"/>
    <w:tmpl w:val="6960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E15D3"/>
    <w:multiLevelType w:val="hybridMultilevel"/>
    <w:tmpl w:val="31D065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057B"/>
    <w:multiLevelType w:val="hybridMultilevel"/>
    <w:tmpl w:val="BADAD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8A"/>
    <w:rsid w:val="00193D8D"/>
    <w:rsid w:val="007B2E5D"/>
    <w:rsid w:val="00D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Macintosh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2012-02-19T23:09:00Z</dcterms:created>
  <dcterms:modified xsi:type="dcterms:W3CDTF">2012-02-19T23:09:00Z</dcterms:modified>
</cp:coreProperties>
</file>