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E4" w:rsidRPr="00BF3FE4" w:rsidRDefault="00BF3FE4" w:rsidP="00BF3FE4">
      <w:pPr>
        <w:spacing w:line="720" w:lineRule="auto"/>
        <w:jc w:val="both"/>
        <w:rPr>
          <w:b/>
          <w:sz w:val="24"/>
          <w:szCs w:val="24"/>
          <w:u w:val="single"/>
        </w:rPr>
      </w:pPr>
      <w:bookmarkStart w:id="0" w:name="_GoBack"/>
      <w:bookmarkEnd w:id="0"/>
    </w:p>
    <w:p w:rsidR="00362A11" w:rsidRDefault="002965CA" w:rsidP="009C1A33">
      <w:pPr>
        <w:pStyle w:val="ListParagraph"/>
        <w:tabs>
          <w:tab w:val="left" w:pos="7752"/>
        </w:tabs>
        <w:spacing w:after="0" w:line="240" w:lineRule="auto"/>
        <w:ind w:left="142"/>
        <w:rPr>
          <w:noProof/>
          <w:lang w:eastAsia="en-CA"/>
        </w:rPr>
      </w:pPr>
      <w:r>
        <w:rPr>
          <w:noProof/>
          <w:lang w:eastAsia="en-CA"/>
        </w:rPr>
        <w:drawing>
          <wp:inline distT="0" distB="0" distL="0" distR="0" wp14:anchorId="3B65CD6A" wp14:editId="4B8621CA">
            <wp:extent cx="2446166" cy="221902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62A11" w:rsidRPr="00362A11">
        <w:rPr>
          <w:noProof/>
          <w:lang w:eastAsia="en-CA"/>
        </w:rPr>
        <w:t xml:space="preserve"> </w:t>
      </w:r>
      <w:r w:rsidR="009C1A33">
        <w:rPr>
          <w:noProof/>
          <w:lang w:eastAsia="en-CA"/>
        </w:rPr>
        <w:t xml:space="preserve">                 </w:t>
      </w:r>
      <w:r w:rsidR="00D73761">
        <w:rPr>
          <w:noProof/>
          <w:lang w:eastAsia="en-CA"/>
        </w:rPr>
        <w:drawing>
          <wp:inline distT="0" distB="0" distL="0" distR="0" wp14:anchorId="73CB2AC1" wp14:editId="54342F4A">
            <wp:extent cx="2466975" cy="22193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1A33" w:rsidRDefault="009C1A33" w:rsidP="009C1A33">
      <w:pPr>
        <w:pStyle w:val="ListParagraph"/>
        <w:tabs>
          <w:tab w:val="left" w:pos="7752"/>
        </w:tabs>
        <w:spacing w:after="0" w:line="240" w:lineRule="auto"/>
        <w:ind w:left="142"/>
        <w:rPr>
          <w:noProof/>
          <w:lang w:eastAsia="en-CA"/>
        </w:rPr>
      </w:pPr>
    </w:p>
    <w:p w:rsidR="009005E4" w:rsidRPr="005C2A00" w:rsidRDefault="009C1A33" w:rsidP="005C2A00">
      <w:pPr>
        <w:spacing w:after="0" w:line="240" w:lineRule="auto"/>
        <w:jc w:val="both"/>
        <w:rPr>
          <w:sz w:val="24"/>
          <w:szCs w:val="24"/>
        </w:rPr>
      </w:pPr>
      <w:r>
        <w:rPr>
          <w:noProof/>
          <w:lang w:eastAsia="en-CA"/>
        </w:rPr>
        <mc:AlternateContent>
          <mc:Choice Requires="wps">
            <w:drawing>
              <wp:anchor distT="0" distB="0" distL="114300" distR="114300" simplePos="0" relativeHeight="251661312" behindDoc="0" locked="0" layoutInCell="1" allowOverlap="1" wp14:anchorId="308CEE82" wp14:editId="29A6D1A9">
                <wp:simplePos x="0" y="0"/>
                <wp:positionH relativeFrom="column">
                  <wp:posOffset>4819650</wp:posOffset>
                </wp:positionH>
                <wp:positionV relativeFrom="paragraph">
                  <wp:posOffset>635</wp:posOffset>
                </wp:positionV>
                <wp:extent cx="1490345" cy="5638800"/>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563880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5F04FE" w:rsidRPr="007C1613" w:rsidRDefault="005F04FE" w:rsidP="007C1DF1">
                            <w:pPr>
                              <w:pStyle w:val="Heading1"/>
                              <w:spacing w:before="0" w:line="240" w:lineRule="auto"/>
                              <w:rPr>
                                <w:b w:val="0"/>
                              </w:rPr>
                            </w:pPr>
                            <w:r w:rsidRPr="007C1613">
                              <w:rPr>
                                <w:b w:val="0"/>
                              </w:rPr>
                              <w:t>Presenting and Representing Poverty</w:t>
                            </w:r>
                          </w:p>
                          <w:p w:rsidR="005F04FE" w:rsidRPr="007C1DF1" w:rsidRDefault="005F04FE" w:rsidP="007C1DF1">
                            <w:pPr>
                              <w:rPr>
                                <w:lang w:val="en-US" w:eastAsia="ja-JP"/>
                              </w:rPr>
                            </w:pPr>
                          </w:p>
                          <w:p w:rsidR="005F04FE" w:rsidRPr="007C1613" w:rsidRDefault="005F04FE" w:rsidP="007C1DF1">
                            <w:pPr>
                              <w:spacing w:after="0" w:line="240" w:lineRule="auto"/>
                              <w:jc w:val="both"/>
                              <w:rPr>
                                <w:sz w:val="20"/>
                                <w:szCs w:val="20"/>
                              </w:rPr>
                            </w:pPr>
                            <w:r w:rsidRPr="007C1613">
                              <w:rPr>
                                <w:sz w:val="20"/>
                                <w:szCs w:val="20"/>
                              </w:rPr>
                              <w:t>Figures 1</w:t>
                            </w:r>
                            <w:r>
                              <w:rPr>
                                <w:sz w:val="20"/>
                                <w:szCs w:val="20"/>
                              </w:rPr>
                              <w:t>,</w:t>
                            </w:r>
                            <w:r w:rsidRPr="007C1613">
                              <w:rPr>
                                <w:sz w:val="20"/>
                                <w:szCs w:val="20"/>
                              </w:rPr>
                              <w:t xml:space="preserve"> 2 </w:t>
                            </w:r>
                            <w:r>
                              <w:rPr>
                                <w:sz w:val="20"/>
                                <w:szCs w:val="20"/>
                              </w:rPr>
                              <w:t xml:space="preserve">and 3 </w:t>
                            </w:r>
                            <w:r w:rsidRPr="007C1613">
                              <w:rPr>
                                <w:sz w:val="20"/>
                                <w:szCs w:val="20"/>
                              </w:rPr>
                              <w:t xml:space="preserve">show that there is a high correlation between poverty head count ratio and prevalence of undernourishment in the population. In fact, the shape of the diagrams is very similar (bell shape). </w:t>
                            </w:r>
                          </w:p>
                          <w:p w:rsidR="005F04FE" w:rsidRPr="007C1613" w:rsidRDefault="005F04FE" w:rsidP="007C1DF1">
                            <w:pPr>
                              <w:spacing w:after="0" w:line="240" w:lineRule="auto"/>
                              <w:jc w:val="both"/>
                              <w:rPr>
                                <w:sz w:val="20"/>
                                <w:szCs w:val="20"/>
                              </w:rPr>
                            </w:pPr>
                          </w:p>
                          <w:p w:rsidR="005F04FE" w:rsidRPr="007C1613" w:rsidRDefault="005F04FE" w:rsidP="007C1DF1">
                            <w:pPr>
                              <w:spacing w:after="0" w:line="240" w:lineRule="auto"/>
                              <w:jc w:val="both"/>
                              <w:rPr>
                                <w:sz w:val="20"/>
                                <w:szCs w:val="20"/>
                              </w:rPr>
                            </w:pPr>
                            <w:r w:rsidRPr="007C1613">
                              <w:rPr>
                                <w:sz w:val="20"/>
                                <w:szCs w:val="20"/>
                              </w:rPr>
                              <w:t xml:space="preserve">Figure </w:t>
                            </w:r>
                            <w:r>
                              <w:rPr>
                                <w:sz w:val="20"/>
                                <w:szCs w:val="20"/>
                              </w:rPr>
                              <w:t>4</w:t>
                            </w:r>
                            <w:r w:rsidRPr="007C1613">
                              <w:rPr>
                                <w:sz w:val="20"/>
                                <w:szCs w:val="20"/>
                              </w:rPr>
                              <w:t xml:space="preserve"> shows that maternal mortality does not seem to be highly correlated with undernourishment or poverty headcount in South Africa, although the correlation seems to hold for the other countries in the group. </w:t>
                            </w:r>
                          </w:p>
                          <w:p w:rsidR="005F04FE" w:rsidRDefault="005F04FE" w:rsidP="00BF3FE4">
                            <w:pPr>
                              <w:spacing w:line="480" w:lineRule="auto"/>
                              <w:rPr>
                                <w:color w:val="1F497D" w:themeColor="text2"/>
                              </w:rPr>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left:0;text-align:left;margin-left:379.5pt;margin-top:.05pt;width:117.35pt;height:4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" fillcolor="white [3212]" stroked="f" strokeweight="1.25pt">
                <v:textbox inset="14.4pt,36pt,14.4pt,5.76pt">
                  <w:txbxContent>
                    <w:p w:rsidR="005F04FE" w:rsidRPr="007C1613" w:rsidRDefault="005F04FE" w:rsidP="007C1DF1">
                      <w:pPr>
                        <w:pStyle w:val="Heading1"/>
                        <w:spacing w:before="0" w:line="240" w:lineRule="auto"/>
                        <w:rPr>
                          <w:b w:val="0"/>
                        </w:rPr>
                      </w:pPr>
                      <w:r w:rsidRPr="007C1613">
                        <w:rPr>
                          <w:b w:val="0"/>
                        </w:rPr>
                        <w:t>Presenting and Representing Poverty</w:t>
                      </w:r>
                    </w:p>
                    <w:p w:rsidR="005F04FE" w:rsidRPr="007C1DF1" w:rsidRDefault="005F04FE" w:rsidP="007C1DF1">
                      <w:pPr>
                        <w:rPr>
                          <w:lang w:val="en-US" w:eastAsia="ja-JP"/>
                        </w:rPr>
                      </w:pPr>
                    </w:p>
                    <w:p w:rsidR="005F04FE" w:rsidRPr="007C1613" w:rsidRDefault="005F04FE" w:rsidP="007C1DF1">
                      <w:pPr>
                        <w:spacing w:after="0" w:line="240" w:lineRule="auto"/>
                        <w:jc w:val="both"/>
                        <w:rPr>
                          <w:sz w:val="20"/>
                          <w:szCs w:val="20"/>
                        </w:rPr>
                      </w:pPr>
                      <w:r w:rsidRPr="007C1613">
                        <w:rPr>
                          <w:sz w:val="20"/>
                          <w:szCs w:val="20"/>
                        </w:rPr>
                        <w:t>Figures 1</w:t>
                      </w:r>
                      <w:r>
                        <w:rPr>
                          <w:sz w:val="20"/>
                          <w:szCs w:val="20"/>
                        </w:rPr>
                        <w:t>,</w:t>
                      </w:r>
                      <w:r w:rsidRPr="007C1613">
                        <w:rPr>
                          <w:sz w:val="20"/>
                          <w:szCs w:val="20"/>
                        </w:rPr>
                        <w:t xml:space="preserve"> 2 </w:t>
                      </w:r>
                      <w:r>
                        <w:rPr>
                          <w:sz w:val="20"/>
                          <w:szCs w:val="20"/>
                        </w:rPr>
                        <w:t xml:space="preserve">and 3 </w:t>
                      </w:r>
                      <w:r w:rsidRPr="007C1613">
                        <w:rPr>
                          <w:sz w:val="20"/>
                          <w:szCs w:val="20"/>
                        </w:rPr>
                        <w:t xml:space="preserve">show that there is a high correlation between poverty head count ratio and prevalence of undernourishment in the population. In fact, the shape of the diagrams is very similar (bell shape). </w:t>
                      </w:r>
                    </w:p>
                    <w:p w:rsidR="005F04FE" w:rsidRPr="007C1613" w:rsidRDefault="005F04FE" w:rsidP="007C1DF1">
                      <w:pPr>
                        <w:spacing w:after="0" w:line="240" w:lineRule="auto"/>
                        <w:jc w:val="both"/>
                        <w:rPr>
                          <w:sz w:val="20"/>
                          <w:szCs w:val="20"/>
                        </w:rPr>
                      </w:pPr>
                    </w:p>
                    <w:p w:rsidR="005F04FE" w:rsidRPr="007C1613" w:rsidRDefault="005F04FE" w:rsidP="007C1DF1">
                      <w:pPr>
                        <w:spacing w:after="0" w:line="240" w:lineRule="auto"/>
                        <w:jc w:val="both"/>
                        <w:rPr>
                          <w:sz w:val="20"/>
                          <w:szCs w:val="20"/>
                        </w:rPr>
                      </w:pPr>
                      <w:r w:rsidRPr="007C1613">
                        <w:rPr>
                          <w:sz w:val="20"/>
                          <w:szCs w:val="20"/>
                        </w:rPr>
                        <w:t xml:space="preserve">Figure </w:t>
                      </w:r>
                      <w:r>
                        <w:rPr>
                          <w:sz w:val="20"/>
                          <w:szCs w:val="20"/>
                        </w:rPr>
                        <w:t>4</w:t>
                      </w:r>
                      <w:r w:rsidRPr="007C1613">
                        <w:rPr>
                          <w:sz w:val="20"/>
                          <w:szCs w:val="20"/>
                        </w:rPr>
                        <w:t xml:space="preserve"> shows that maternal mortality does not seem to be highly correlated with undernourishment or poverty headcount in South Africa, although the correlation seems to hold for the other countries in the group. </w:t>
                      </w:r>
                    </w:p>
                    <w:p w:rsidR="005F04FE" w:rsidRDefault="005F04FE" w:rsidP="00BF3FE4">
                      <w:pPr>
                        <w:spacing w:line="480" w:lineRule="auto"/>
                        <w:rPr>
                          <w:color w:val="1F497D" w:themeColor="text2"/>
                        </w:rPr>
                      </w:pPr>
                    </w:p>
                  </w:txbxContent>
                </v:textbox>
              </v:rect>
            </w:pict>
          </mc:Fallback>
        </mc:AlternateContent>
      </w:r>
      <w:r w:rsidR="00362A11">
        <w:rPr>
          <w:noProof/>
          <w:lang w:eastAsia="en-CA"/>
        </w:rPr>
        <w:drawing>
          <wp:inline distT="0" distB="0" distL="0" distR="0" wp14:anchorId="3F93089F" wp14:editId="06BEA21E">
            <wp:extent cx="3716976" cy="2339439"/>
            <wp:effectExtent l="0" t="0" r="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005E4">
        <w:rPr>
          <w:noProof/>
          <w:lang w:eastAsia="en-CA"/>
        </w:rPr>
        <w:drawing>
          <wp:inline distT="0" distB="0" distL="0" distR="0" wp14:anchorId="5A5E1105" wp14:editId="65BFC887">
            <wp:extent cx="3714750" cy="26860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9005E4" w:rsidRPr="005C2A00">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20" w:rsidRDefault="00520720" w:rsidP="007C1DF1">
      <w:pPr>
        <w:spacing w:after="0" w:line="240" w:lineRule="auto"/>
      </w:pPr>
      <w:r>
        <w:separator/>
      </w:r>
    </w:p>
  </w:endnote>
  <w:endnote w:type="continuationSeparator" w:id="0">
    <w:p w:rsidR="00520720" w:rsidRDefault="00520720" w:rsidP="007C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20" w:rsidRDefault="00520720" w:rsidP="007C1DF1">
      <w:pPr>
        <w:spacing w:after="0" w:line="240" w:lineRule="auto"/>
      </w:pPr>
      <w:r>
        <w:separator/>
      </w:r>
    </w:p>
  </w:footnote>
  <w:footnote w:type="continuationSeparator" w:id="0">
    <w:p w:rsidR="00520720" w:rsidRDefault="00520720" w:rsidP="007C1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4FE" w:rsidRDefault="005F04FE" w:rsidP="007C1DF1">
    <w:pPr>
      <w:pStyle w:val="Header"/>
    </w:pPr>
    <w:r>
      <w:t xml:space="preserve">Claudia </w:t>
    </w:r>
    <w:proofErr w:type="spellStart"/>
    <w:r>
      <w:t>Tufani</w:t>
    </w:r>
    <w:proofErr w:type="spellEnd"/>
    <w:r>
      <w:t xml:space="preserve">                                                                                                                      </w:t>
    </w:r>
    <w:r w:rsidR="005C2A00">
      <w:t xml:space="preserve">                        ECON 457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A6781"/>
    <w:multiLevelType w:val="hybridMultilevel"/>
    <w:tmpl w:val="C4D23C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7930F44"/>
    <w:multiLevelType w:val="hybridMultilevel"/>
    <w:tmpl w:val="14A2052E"/>
    <w:lvl w:ilvl="0" w:tplc="CEEA78D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79156EA7"/>
    <w:multiLevelType w:val="hybridMultilevel"/>
    <w:tmpl w:val="A8CC0C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FE"/>
    <w:rsid w:val="000E7B91"/>
    <w:rsid w:val="000F0739"/>
    <w:rsid w:val="00180761"/>
    <w:rsid w:val="001D3F24"/>
    <w:rsid w:val="001D44B3"/>
    <w:rsid w:val="00220860"/>
    <w:rsid w:val="002965CA"/>
    <w:rsid w:val="00362A11"/>
    <w:rsid w:val="003A7BA1"/>
    <w:rsid w:val="00424227"/>
    <w:rsid w:val="00520720"/>
    <w:rsid w:val="005C2A00"/>
    <w:rsid w:val="005F04FE"/>
    <w:rsid w:val="006E2AC0"/>
    <w:rsid w:val="00795B85"/>
    <w:rsid w:val="007C1613"/>
    <w:rsid w:val="007C1DF1"/>
    <w:rsid w:val="009005E4"/>
    <w:rsid w:val="00915CBE"/>
    <w:rsid w:val="009C1A33"/>
    <w:rsid w:val="00A806FE"/>
    <w:rsid w:val="00A850B8"/>
    <w:rsid w:val="00B42F1E"/>
    <w:rsid w:val="00B8045E"/>
    <w:rsid w:val="00BF3FE4"/>
    <w:rsid w:val="00C67EFF"/>
    <w:rsid w:val="00D06CA1"/>
    <w:rsid w:val="00D7044D"/>
    <w:rsid w:val="00D73761"/>
    <w:rsid w:val="00E50A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FE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6FE"/>
    <w:pPr>
      <w:ind w:left="720"/>
      <w:contextualSpacing/>
    </w:pPr>
  </w:style>
  <w:style w:type="paragraph" w:styleId="BalloonText">
    <w:name w:val="Balloon Text"/>
    <w:basedOn w:val="Normal"/>
    <w:link w:val="BalloonTextChar"/>
    <w:uiPriority w:val="99"/>
    <w:semiHidden/>
    <w:unhideWhenUsed/>
    <w:rsid w:val="00296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CA"/>
    <w:rPr>
      <w:rFonts w:ascii="Tahoma" w:hAnsi="Tahoma" w:cs="Tahoma"/>
      <w:sz w:val="16"/>
      <w:szCs w:val="16"/>
    </w:rPr>
  </w:style>
  <w:style w:type="character" w:customStyle="1" w:styleId="Heading1Char">
    <w:name w:val="Heading 1 Char"/>
    <w:basedOn w:val="DefaultParagraphFont"/>
    <w:link w:val="Heading1"/>
    <w:uiPriority w:val="9"/>
    <w:rsid w:val="00BF3FE4"/>
    <w:rPr>
      <w:rFonts w:asciiTheme="majorHAnsi" w:eastAsiaTheme="majorEastAsia" w:hAnsiTheme="majorHAnsi" w:cstheme="majorBidi"/>
      <w:b/>
      <w:bCs/>
      <w:color w:val="365F91" w:themeColor="accent1" w:themeShade="BF"/>
      <w:sz w:val="28"/>
      <w:szCs w:val="28"/>
      <w:lang w:val="en-US" w:eastAsia="ja-JP"/>
    </w:rPr>
  </w:style>
  <w:style w:type="paragraph" w:styleId="Header">
    <w:name w:val="header"/>
    <w:basedOn w:val="Normal"/>
    <w:link w:val="HeaderChar"/>
    <w:uiPriority w:val="99"/>
    <w:unhideWhenUsed/>
    <w:rsid w:val="007C1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DF1"/>
  </w:style>
  <w:style w:type="paragraph" w:styleId="Footer">
    <w:name w:val="footer"/>
    <w:basedOn w:val="Normal"/>
    <w:link w:val="FooterChar"/>
    <w:uiPriority w:val="99"/>
    <w:unhideWhenUsed/>
    <w:rsid w:val="007C1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FE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6FE"/>
    <w:pPr>
      <w:ind w:left="720"/>
      <w:contextualSpacing/>
    </w:pPr>
  </w:style>
  <w:style w:type="paragraph" w:styleId="BalloonText">
    <w:name w:val="Balloon Text"/>
    <w:basedOn w:val="Normal"/>
    <w:link w:val="BalloonTextChar"/>
    <w:uiPriority w:val="99"/>
    <w:semiHidden/>
    <w:unhideWhenUsed/>
    <w:rsid w:val="00296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CA"/>
    <w:rPr>
      <w:rFonts w:ascii="Tahoma" w:hAnsi="Tahoma" w:cs="Tahoma"/>
      <w:sz w:val="16"/>
      <w:szCs w:val="16"/>
    </w:rPr>
  </w:style>
  <w:style w:type="character" w:customStyle="1" w:styleId="Heading1Char">
    <w:name w:val="Heading 1 Char"/>
    <w:basedOn w:val="DefaultParagraphFont"/>
    <w:link w:val="Heading1"/>
    <w:uiPriority w:val="9"/>
    <w:rsid w:val="00BF3FE4"/>
    <w:rPr>
      <w:rFonts w:asciiTheme="majorHAnsi" w:eastAsiaTheme="majorEastAsia" w:hAnsiTheme="majorHAnsi" w:cstheme="majorBidi"/>
      <w:b/>
      <w:bCs/>
      <w:color w:val="365F91" w:themeColor="accent1" w:themeShade="BF"/>
      <w:sz w:val="28"/>
      <w:szCs w:val="28"/>
      <w:lang w:val="en-US" w:eastAsia="ja-JP"/>
    </w:rPr>
  </w:style>
  <w:style w:type="paragraph" w:styleId="Header">
    <w:name w:val="header"/>
    <w:basedOn w:val="Normal"/>
    <w:link w:val="HeaderChar"/>
    <w:uiPriority w:val="99"/>
    <w:unhideWhenUsed/>
    <w:rsid w:val="007C1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DF1"/>
  </w:style>
  <w:style w:type="paragraph" w:styleId="Footer">
    <w:name w:val="footer"/>
    <w:basedOn w:val="Normal"/>
    <w:link w:val="FooterChar"/>
    <w:uiPriority w:val="99"/>
    <w:unhideWhenUsed/>
    <w:rsid w:val="007C1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laudia\Desktop\wdb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laudia\AppData\Local\Microsoft\Windows\Temporary%20Internet%20Files\Content.IE5\ELHM5S3G\d2322d2e-c5f6-408e-827e-7aa3001196b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laudia\Desktop\wdb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laudia\Desktop\wdb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a:t>Poverty Headcount Ratio at $1.25 a day (PPP), 2005</a:t>
            </a:r>
            <a:endParaRPr lang="en-CA" sz="1200"/>
          </a:p>
        </c:rich>
      </c:tx>
      <c:layout>
        <c:manualLayout>
          <c:xMode val="edge"/>
          <c:yMode val="edge"/>
          <c:x val="0.16999091066924024"/>
          <c:y val="3.4344590726960507E-2"/>
        </c:manualLayout>
      </c:layout>
      <c:overlay val="0"/>
    </c:title>
    <c:autoTitleDeleted val="0"/>
    <c:plotArea>
      <c:layout/>
      <c:barChart>
        <c:barDir val="col"/>
        <c:grouping val="clustered"/>
        <c:varyColors val="0"/>
        <c:ser>
          <c:idx val="0"/>
          <c:order val="0"/>
          <c:tx>
            <c:strRef>
              <c:f>Sheet2!$B$1</c:f>
              <c:strCache>
                <c:ptCount val="1"/>
                <c:pt idx="0">
                  <c:v>2005</c:v>
                </c:pt>
              </c:strCache>
            </c:strRef>
          </c:tx>
          <c:invertIfNegative val="0"/>
          <c:cat>
            <c:strRef>
              <c:f>Sheet2!$A$2:$A$6</c:f>
              <c:strCache>
                <c:ptCount val="5"/>
                <c:pt idx="0">
                  <c:v>Brazil</c:v>
                </c:pt>
                <c:pt idx="1">
                  <c:v>China</c:v>
                </c:pt>
                <c:pt idx="2">
                  <c:v>India</c:v>
                </c:pt>
                <c:pt idx="3">
                  <c:v>Russia </c:v>
                </c:pt>
                <c:pt idx="4">
                  <c:v>South Africa</c:v>
                </c:pt>
              </c:strCache>
            </c:strRef>
          </c:cat>
          <c:val>
            <c:numRef>
              <c:f>Sheet2!$B$2:$B$6</c:f>
              <c:numCache>
                <c:formatCode>General</c:formatCode>
                <c:ptCount val="5"/>
                <c:pt idx="0">
                  <c:v>7.7600000000000002E-2</c:v>
                </c:pt>
                <c:pt idx="1">
                  <c:v>0.15920000000000001</c:v>
                </c:pt>
                <c:pt idx="2">
                  <c:v>0.41639999999999999</c:v>
                </c:pt>
                <c:pt idx="3">
                  <c:v>1.6000000000000001E-3</c:v>
                </c:pt>
                <c:pt idx="4">
                  <c:v>0.17349999999999999</c:v>
                </c:pt>
              </c:numCache>
            </c:numRef>
          </c:val>
        </c:ser>
        <c:dLbls>
          <c:showLegendKey val="0"/>
          <c:showVal val="0"/>
          <c:showCatName val="0"/>
          <c:showSerName val="0"/>
          <c:showPercent val="0"/>
          <c:showBubbleSize val="0"/>
        </c:dLbls>
        <c:gapWidth val="150"/>
        <c:axId val="112879104"/>
        <c:axId val="121070336"/>
      </c:barChart>
      <c:catAx>
        <c:axId val="112879104"/>
        <c:scaling>
          <c:orientation val="minMax"/>
        </c:scaling>
        <c:delete val="0"/>
        <c:axPos val="b"/>
        <c:title>
          <c:tx>
            <c:rich>
              <a:bodyPr/>
              <a:lstStyle/>
              <a:p>
                <a:pPr>
                  <a:defRPr/>
                </a:pPr>
                <a:r>
                  <a:rPr lang="en-CA"/>
                  <a:t>Figure 1</a:t>
                </a:r>
              </a:p>
              <a:p>
                <a:pPr>
                  <a:defRPr/>
                </a:pPr>
                <a:r>
                  <a:rPr lang="en-CA"/>
                  <a:t>Source: World DataBank</a:t>
                </a:r>
              </a:p>
            </c:rich>
          </c:tx>
          <c:overlay val="0"/>
        </c:title>
        <c:majorTickMark val="none"/>
        <c:minorTickMark val="none"/>
        <c:tickLblPos val="nextTo"/>
        <c:crossAx val="121070336"/>
        <c:crosses val="autoZero"/>
        <c:auto val="1"/>
        <c:lblAlgn val="ctr"/>
        <c:lblOffset val="100"/>
        <c:noMultiLvlLbl val="0"/>
      </c:catAx>
      <c:valAx>
        <c:axId val="121070336"/>
        <c:scaling>
          <c:orientation val="minMax"/>
        </c:scaling>
        <c:delete val="0"/>
        <c:axPos val="l"/>
        <c:majorGridlines/>
        <c:numFmt formatCode="0%" sourceLinked="0"/>
        <c:majorTickMark val="out"/>
        <c:minorTickMark val="none"/>
        <c:tickLblPos val="nextTo"/>
        <c:crossAx val="11287910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a:t>Poverty Headcount Ratio at $2.00 a day (PPP), 2005</a:t>
            </a:r>
            <a:endParaRPr lang="en-CA" sz="1200"/>
          </a:p>
        </c:rich>
      </c:tx>
      <c:layout>
        <c:manualLayout>
          <c:xMode val="edge"/>
          <c:yMode val="edge"/>
          <c:x val="0.1956497329725676"/>
          <c:y val="5.7224606580829757E-2"/>
        </c:manualLayout>
      </c:layout>
      <c:overlay val="0"/>
    </c:title>
    <c:autoTitleDeleted val="0"/>
    <c:plotArea>
      <c:layout>
        <c:manualLayout>
          <c:layoutTarget val="inner"/>
          <c:xMode val="edge"/>
          <c:yMode val="edge"/>
          <c:x val="0.196323432543905"/>
          <c:y val="0.29658116769738546"/>
          <c:w val="0.74704851082803836"/>
          <c:h val="0.29283678595969498"/>
        </c:manualLayout>
      </c:layout>
      <c:barChart>
        <c:barDir val="col"/>
        <c:grouping val="clustered"/>
        <c:varyColors val="0"/>
        <c:ser>
          <c:idx val="0"/>
          <c:order val="0"/>
          <c:tx>
            <c:strRef>
              <c:f>'[d2322d2e-c5f6-408e-827e-7aa3001196b2.xls]Sheet2'!$B$1</c:f>
              <c:strCache>
                <c:ptCount val="1"/>
                <c:pt idx="0">
                  <c:v>2005</c:v>
                </c:pt>
              </c:strCache>
            </c:strRef>
          </c:tx>
          <c:invertIfNegative val="0"/>
          <c:cat>
            <c:strRef>
              <c:f>'[d2322d2e-c5f6-408e-827e-7aa3001196b2.xls]Sheet2'!$A$2:$A$6</c:f>
              <c:strCache>
                <c:ptCount val="5"/>
                <c:pt idx="0">
                  <c:v>Brazil</c:v>
                </c:pt>
                <c:pt idx="1">
                  <c:v>China</c:v>
                </c:pt>
                <c:pt idx="2">
                  <c:v>India</c:v>
                </c:pt>
                <c:pt idx="3">
                  <c:v>Russia</c:v>
                </c:pt>
                <c:pt idx="4">
                  <c:v>South Africa*</c:v>
                </c:pt>
              </c:strCache>
            </c:strRef>
          </c:cat>
          <c:val>
            <c:numRef>
              <c:f>'[d2322d2e-c5f6-408e-827e-7aa3001196b2.xls]Sheet2'!$B$2:$B$6</c:f>
              <c:numCache>
                <c:formatCode>0.0</c:formatCode>
                <c:ptCount val="5"/>
                <c:pt idx="0" formatCode="0.000">
                  <c:v>0.18340000000000001</c:v>
                </c:pt>
                <c:pt idx="1">
                  <c:v>0.36309999999999998</c:v>
                </c:pt>
                <c:pt idx="2">
                  <c:v>0.75619999999999998</c:v>
                </c:pt>
                <c:pt idx="3">
                  <c:v>1.49E-2</c:v>
                </c:pt>
                <c:pt idx="4" formatCode="General">
                  <c:v>0.35699999999999998</c:v>
                </c:pt>
              </c:numCache>
            </c:numRef>
          </c:val>
        </c:ser>
        <c:dLbls>
          <c:showLegendKey val="0"/>
          <c:showVal val="0"/>
          <c:showCatName val="0"/>
          <c:showSerName val="0"/>
          <c:showPercent val="0"/>
          <c:showBubbleSize val="0"/>
        </c:dLbls>
        <c:gapWidth val="150"/>
        <c:axId val="121090432"/>
        <c:axId val="121092352"/>
      </c:barChart>
      <c:catAx>
        <c:axId val="121090432"/>
        <c:scaling>
          <c:orientation val="minMax"/>
        </c:scaling>
        <c:delete val="0"/>
        <c:axPos val="b"/>
        <c:title>
          <c:tx>
            <c:rich>
              <a:bodyPr/>
              <a:lstStyle/>
              <a:p>
                <a:pPr>
                  <a:defRPr/>
                </a:pPr>
                <a:r>
                  <a:rPr lang="en-CA"/>
                  <a:t>Figure 2</a:t>
                </a:r>
              </a:p>
              <a:p>
                <a:pPr>
                  <a:defRPr/>
                </a:pPr>
                <a:r>
                  <a:rPr lang="en-CA"/>
                  <a:t>Source: World DataBank</a:t>
                </a:r>
              </a:p>
            </c:rich>
          </c:tx>
          <c:overlay val="0"/>
        </c:title>
        <c:majorTickMark val="none"/>
        <c:minorTickMark val="none"/>
        <c:tickLblPos val="nextTo"/>
        <c:crossAx val="121092352"/>
        <c:crosses val="autoZero"/>
        <c:auto val="1"/>
        <c:lblAlgn val="ctr"/>
        <c:lblOffset val="100"/>
        <c:noMultiLvlLbl val="0"/>
      </c:catAx>
      <c:valAx>
        <c:axId val="121092352"/>
        <c:scaling>
          <c:orientation val="minMax"/>
        </c:scaling>
        <c:delete val="0"/>
        <c:axPos val="l"/>
        <c:majorGridlines/>
        <c:numFmt formatCode="0%" sourceLinked="0"/>
        <c:majorTickMark val="out"/>
        <c:minorTickMark val="none"/>
        <c:tickLblPos val="nextTo"/>
        <c:crossAx val="12109043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400"/>
              <a:t>Prevalence of Undernourishmet </a:t>
            </a:r>
          </a:p>
          <a:p>
            <a:pPr>
              <a:defRPr/>
            </a:pPr>
            <a:r>
              <a:rPr lang="en-US" sz="1400"/>
              <a:t>% of Population, 2008 </a:t>
            </a:r>
          </a:p>
        </c:rich>
      </c:tx>
      <c:overlay val="0"/>
    </c:title>
    <c:autoTitleDeleted val="0"/>
    <c:plotArea>
      <c:layout/>
      <c:barChart>
        <c:barDir val="col"/>
        <c:grouping val="clustered"/>
        <c:varyColors val="0"/>
        <c:ser>
          <c:idx val="0"/>
          <c:order val="0"/>
          <c:tx>
            <c:strRef>
              <c:f>Sheet2!$B$15</c:f>
              <c:strCache>
                <c:ptCount val="1"/>
                <c:pt idx="0">
                  <c:v>2008</c:v>
                </c:pt>
              </c:strCache>
            </c:strRef>
          </c:tx>
          <c:invertIfNegative val="0"/>
          <c:cat>
            <c:strRef>
              <c:f>Sheet2!$A$16:$A$20</c:f>
              <c:strCache>
                <c:ptCount val="5"/>
                <c:pt idx="0">
                  <c:v>Brazil</c:v>
                </c:pt>
                <c:pt idx="1">
                  <c:v>China</c:v>
                </c:pt>
                <c:pt idx="2">
                  <c:v>India</c:v>
                </c:pt>
                <c:pt idx="3">
                  <c:v>Russia </c:v>
                </c:pt>
                <c:pt idx="4">
                  <c:v>South Africa</c:v>
                </c:pt>
              </c:strCache>
            </c:strRef>
          </c:cat>
          <c:val>
            <c:numRef>
              <c:f>Sheet2!$B$16:$B$20</c:f>
              <c:numCache>
                <c:formatCode>General</c:formatCode>
                <c:ptCount val="5"/>
                <c:pt idx="0">
                  <c:v>0.06</c:v>
                </c:pt>
                <c:pt idx="1">
                  <c:v>0.1</c:v>
                </c:pt>
                <c:pt idx="2">
                  <c:v>0.21</c:v>
                </c:pt>
                <c:pt idx="3">
                  <c:v>0.05</c:v>
                </c:pt>
                <c:pt idx="4">
                  <c:v>0.05</c:v>
                </c:pt>
              </c:numCache>
            </c:numRef>
          </c:val>
        </c:ser>
        <c:dLbls>
          <c:showLegendKey val="0"/>
          <c:showVal val="0"/>
          <c:showCatName val="0"/>
          <c:showSerName val="0"/>
          <c:showPercent val="0"/>
          <c:showBubbleSize val="0"/>
        </c:dLbls>
        <c:gapWidth val="150"/>
        <c:axId val="121100544"/>
        <c:axId val="121106816"/>
      </c:barChart>
      <c:catAx>
        <c:axId val="121100544"/>
        <c:scaling>
          <c:orientation val="minMax"/>
        </c:scaling>
        <c:delete val="0"/>
        <c:axPos val="b"/>
        <c:title>
          <c:tx>
            <c:rich>
              <a:bodyPr/>
              <a:lstStyle/>
              <a:p>
                <a:pPr>
                  <a:defRPr/>
                </a:pPr>
                <a:r>
                  <a:rPr lang="en-CA"/>
                  <a:t>Figure 3</a:t>
                </a:r>
              </a:p>
              <a:p>
                <a:pPr>
                  <a:defRPr/>
                </a:pPr>
                <a:r>
                  <a:rPr lang="en-CA"/>
                  <a:t>Source: World DataBank</a:t>
                </a:r>
              </a:p>
            </c:rich>
          </c:tx>
          <c:overlay val="0"/>
        </c:title>
        <c:majorTickMark val="none"/>
        <c:minorTickMark val="none"/>
        <c:tickLblPos val="nextTo"/>
        <c:crossAx val="121106816"/>
        <c:crosses val="autoZero"/>
        <c:auto val="1"/>
        <c:lblAlgn val="ctr"/>
        <c:lblOffset val="100"/>
        <c:noMultiLvlLbl val="0"/>
      </c:catAx>
      <c:valAx>
        <c:axId val="121106816"/>
        <c:scaling>
          <c:orientation val="minMax"/>
        </c:scaling>
        <c:delete val="0"/>
        <c:axPos val="l"/>
        <c:majorGridlines/>
        <c:numFmt formatCode="0%" sourceLinked="0"/>
        <c:majorTickMark val="out"/>
        <c:minorTickMark val="none"/>
        <c:tickLblPos val="nextTo"/>
        <c:crossAx val="121100544"/>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400"/>
              <a:t>Maternal Mortality (per 100.000 live Births), 2008</a:t>
            </a:r>
          </a:p>
        </c:rich>
      </c:tx>
      <c:layout>
        <c:manualLayout>
          <c:xMode val="edge"/>
          <c:yMode val="edge"/>
          <c:x val="0.10789928218467694"/>
          <c:y val="3.9204704564547749E-2"/>
        </c:manualLayout>
      </c:layout>
      <c:overlay val="0"/>
    </c:title>
    <c:autoTitleDeleted val="0"/>
    <c:plotArea>
      <c:layout/>
      <c:barChart>
        <c:barDir val="col"/>
        <c:grouping val="clustered"/>
        <c:varyColors val="0"/>
        <c:ser>
          <c:idx val="0"/>
          <c:order val="0"/>
          <c:tx>
            <c:strRef>
              <c:f>Sheet2!$B$1</c:f>
              <c:strCache>
                <c:ptCount val="1"/>
                <c:pt idx="0">
                  <c:v>2008</c:v>
                </c:pt>
              </c:strCache>
            </c:strRef>
          </c:tx>
          <c:invertIfNegative val="0"/>
          <c:cat>
            <c:strRef>
              <c:f>Sheet2!$A$2:$A$6</c:f>
              <c:strCache>
                <c:ptCount val="5"/>
                <c:pt idx="0">
                  <c:v>Brazil</c:v>
                </c:pt>
                <c:pt idx="1">
                  <c:v>China</c:v>
                </c:pt>
                <c:pt idx="2">
                  <c:v>India</c:v>
                </c:pt>
                <c:pt idx="3">
                  <c:v>Russia</c:v>
                </c:pt>
                <c:pt idx="4">
                  <c:v>South Africa</c:v>
                </c:pt>
              </c:strCache>
            </c:strRef>
          </c:cat>
          <c:val>
            <c:numRef>
              <c:f>Sheet2!$B$2:$B$6</c:f>
              <c:numCache>
                <c:formatCode>General</c:formatCode>
                <c:ptCount val="5"/>
                <c:pt idx="0">
                  <c:v>58</c:v>
                </c:pt>
                <c:pt idx="1">
                  <c:v>38</c:v>
                </c:pt>
                <c:pt idx="2">
                  <c:v>230</c:v>
                </c:pt>
                <c:pt idx="3">
                  <c:v>39</c:v>
                </c:pt>
                <c:pt idx="4">
                  <c:v>410</c:v>
                </c:pt>
              </c:numCache>
            </c:numRef>
          </c:val>
        </c:ser>
        <c:dLbls>
          <c:showLegendKey val="0"/>
          <c:showVal val="0"/>
          <c:showCatName val="0"/>
          <c:showSerName val="0"/>
          <c:showPercent val="0"/>
          <c:showBubbleSize val="0"/>
        </c:dLbls>
        <c:gapWidth val="150"/>
        <c:axId val="114232704"/>
        <c:axId val="114243072"/>
      </c:barChart>
      <c:catAx>
        <c:axId val="114232704"/>
        <c:scaling>
          <c:orientation val="minMax"/>
        </c:scaling>
        <c:delete val="0"/>
        <c:axPos val="b"/>
        <c:title>
          <c:tx>
            <c:rich>
              <a:bodyPr/>
              <a:lstStyle/>
              <a:p>
                <a:pPr>
                  <a:defRPr/>
                </a:pPr>
                <a:r>
                  <a:rPr lang="en-CA"/>
                  <a:t>Figure 4</a:t>
                </a:r>
              </a:p>
              <a:p>
                <a:pPr>
                  <a:defRPr/>
                </a:pPr>
                <a:r>
                  <a:rPr lang="en-CA"/>
                  <a:t>Source: World DataBank</a:t>
                </a:r>
              </a:p>
            </c:rich>
          </c:tx>
          <c:overlay val="0"/>
        </c:title>
        <c:majorTickMark val="none"/>
        <c:minorTickMark val="none"/>
        <c:tickLblPos val="nextTo"/>
        <c:crossAx val="114243072"/>
        <c:crosses val="autoZero"/>
        <c:auto val="1"/>
        <c:lblAlgn val="ctr"/>
        <c:lblOffset val="100"/>
        <c:noMultiLvlLbl val="0"/>
      </c:catAx>
      <c:valAx>
        <c:axId val="114243072"/>
        <c:scaling>
          <c:orientation val="minMax"/>
        </c:scaling>
        <c:delete val="0"/>
        <c:axPos val="l"/>
        <c:majorGridlines/>
        <c:numFmt formatCode="General" sourceLinked="1"/>
        <c:majorTickMark val="out"/>
        <c:minorTickMark val="none"/>
        <c:tickLblPos val="nextTo"/>
        <c:crossAx val="11423270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cp:lastPrinted>2012-01-26T17:03:00Z</cp:lastPrinted>
  <dcterms:created xsi:type="dcterms:W3CDTF">2012-03-27T05:15:00Z</dcterms:created>
  <dcterms:modified xsi:type="dcterms:W3CDTF">2012-03-27T05:15:00Z</dcterms:modified>
</cp:coreProperties>
</file>