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31" w:rsidRDefault="00B85C31" w:rsidP="00B85C31">
      <w:r>
        <w:t xml:space="preserve">In order to select design options that are suitable for the use of shape memory material in adaptive blinds, two main </w:t>
      </w:r>
      <w:r w:rsidR="002658EC">
        <w:t>criterions</w:t>
      </w:r>
      <w:r>
        <w:t xml:space="preserve"> need to be </w:t>
      </w:r>
      <w:r w:rsidR="002658EC">
        <w:t>satisfied</w:t>
      </w:r>
      <w:r>
        <w:t xml:space="preserve">. First, the shape memory material needs to provide adequate actuation force. Second, it needs to deform back to the original shape before actuation for successful repeatability of the process. </w:t>
      </w:r>
    </w:p>
    <w:p w:rsidR="00F22A45" w:rsidRDefault="0011680F" w:rsidP="00B85C31">
      <w:r>
        <w:t xml:space="preserve">Two classes of shape memory materials exist, </w:t>
      </w:r>
      <w:r w:rsidR="00B85C31">
        <w:t>shape memory polymer</w:t>
      </w:r>
      <w:r>
        <w:t>s</w:t>
      </w:r>
      <w:r w:rsidR="002D163C">
        <w:t xml:space="preserve"> (SMP)</w:t>
      </w:r>
      <w:r w:rsidR="00B85C31">
        <w:t xml:space="preserve"> </w:t>
      </w:r>
      <w:r w:rsidR="00FE0D9E">
        <w:t>and</w:t>
      </w:r>
      <w:r w:rsidR="00B85C31">
        <w:t xml:space="preserve"> shap</w:t>
      </w:r>
      <w:r w:rsidR="002D163C">
        <w:t>e memory alloy</w:t>
      </w:r>
      <w:r>
        <w:t>s</w:t>
      </w:r>
      <w:r w:rsidR="002D163C">
        <w:t xml:space="preserve"> (SMA). The main advantage of SMP over SMA is its </w:t>
      </w:r>
      <w:r w:rsidR="00EB290A">
        <w:t xml:space="preserve">much </w:t>
      </w:r>
      <w:r w:rsidR="002D163C">
        <w:t>cheaper cost.</w:t>
      </w:r>
      <w:r w:rsidR="00EB290A">
        <w:t xml:space="preserve"> </w:t>
      </w:r>
      <w:r w:rsidR="00FE0D9E">
        <w:t>SMP costs less than $10 per pound while SMA costs approximately $250 per pound</w:t>
      </w:r>
      <w:sdt>
        <w:sdtPr>
          <w:id w:val="-1807159891"/>
          <w:citation/>
        </w:sdtPr>
        <w:sdtContent>
          <w:r w:rsidR="00FE0D9E">
            <w:fldChar w:fldCharType="begin"/>
          </w:r>
          <w:r w:rsidR="00FE0D9E">
            <w:rPr>
              <w:lang w:val="en-US"/>
            </w:rPr>
            <w:instrText xml:space="preserve"> CITATION Liu07 \l 1033 </w:instrText>
          </w:r>
          <w:r w:rsidR="00FE0D9E">
            <w:fldChar w:fldCharType="separate"/>
          </w:r>
          <w:r w:rsidR="00FE0D9E">
            <w:rPr>
              <w:noProof/>
              <w:lang w:val="en-US"/>
            </w:rPr>
            <w:t xml:space="preserve"> </w:t>
          </w:r>
          <w:r w:rsidR="00FE0D9E" w:rsidRPr="00FE0D9E">
            <w:rPr>
              <w:noProof/>
              <w:lang w:val="en-US"/>
            </w:rPr>
            <w:t>(Liu, Qin, &amp; Mather, 2007)</w:t>
          </w:r>
          <w:r w:rsidR="00FE0D9E">
            <w:fldChar w:fldCharType="end"/>
          </w:r>
        </w:sdtContent>
      </w:sdt>
      <w:r w:rsidR="00EB290A">
        <w:rPr>
          <w:b/>
        </w:rPr>
        <w:t>.</w:t>
      </w:r>
      <w:r w:rsidR="002D163C">
        <w:t xml:space="preserve"> However, the actuation force of SMP </w:t>
      </w:r>
      <w:r w:rsidR="005847DB">
        <w:t>is in the range of 1-3MPa, which is roughly 100 times</w:t>
      </w:r>
      <w:r w:rsidR="002D163C">
        <w:t xml:space="preserve"> less than SMA</w:t>
      </w:r>
      <w:r w:rsidR="005847DB">
        <w:t xml:space="preserve"> with a range of 150-300MPa</w:t>
      </w:r>
      <w:sdt>
        <w:sdtPr>
          <w:id w:val="639301979"/>
          <w:citation/>
        </w:sdtPr>
        <w:sdtContent>
          <w:r w:rsidR="005847DB">
            <w:fldChar w:fldCharType="begin"/>
          </w:r>
          <w:r w:rsidR="005847DB">
            <w:rPr>
              <w:lang w:val="en-US"/>
            </w:rPr>
            <w:instrText xml:space="preserve"> CITATION Liu07 \l 1033 </w:instrText>
          </w:r>
          <w:r w:rsidR="005847DB">
            <w:fldChar w:fldCharType="separate"/>
          </w:r>
          <w:r w:rsidR="005847DB">
            <w:rPr>
              <w:noProof/>
              <w:lang w:val="en-US"/>
            </w:rPr>
            <w:t xml:space="preserve"> </w:t>
          </w:r>
          <w:r w:rsidR="005847DB" w:rsidRPr="005847DB">
            <w:rPr>
              <w:noProof/>
              <w:lang w:val="en-US"/>
            </w:rPr>
            <w:t>(Liu, Qin, &amp; Mather, 2007)</w:t>
          </w:r>
          <w:r w:rsidR="005847DB">
            <w:fldChar w:fldCharType="end"/>
          </w:r>
        </w:sdtContent>
      </w:sdt>
      <w:r w:rsidR="005847DB">
        <w:t>. Therefore,</w:t>
      </w:r>
      <w:r w:rsidR="002D163C">
        <w:t xml:space="preserve"> it may be difficult for SMP to produce adequate force to actuate the adaptive blinds</w:t>
      </w:r>
      <w:r w:rsidR="00F22A45">
        <w:t xml:space="preserve">. </w:t>
      </w:r>
    </w:p>
    <w:p w:rsidR="00FB6708" w:rsidRDefault="00FB6708" w:rsidP="00B85C31">
      <w:r>
        <w:t xml:space="preserve">The maximum weight of each adaptive blind will be approximately 100g, which is within the capability of commercially available SMA </w:t>
      </w:r>
      <w:sdt>
        <w:sdtPr>
          <w:id w:val="1907961676"/>
          <w:citation/>
        </w:sdtPr>
        <w:sdtContent>
          <w:r>
            <w:fldChar w:fldCharType="begin"/>
          </w:r>
          <w:r>
            <w:rPr>
              <w:lang w:val="en-US"/>
            </w:rPr>
            <w:instrText xml:space="preserve"> CITATION Dyn12 \l 1033 </w:instrText>
          </w:r>
          <w:r>
            <w:fldChar w:fldCharType="separate"/>
          </w:r>
          <w:r w:rsidRPr="00BE4F8A">
            <w:rPr>
              <w:noProof/>
              <w:lang w:val="en-US"/>
            </w:rPr>
            <w:t>(Dynalloy, Inc, 2012)</w:t>
          </w:r>
          <w:r>
            <w:fldChar w:fldCharType="end"/>
          </w:r>
        </w:sdtContent>
      </w:sdt>
      <w:r>
        <w:t>.</w:t>
      </w:r>
    </w:p>
    <w:p w:rsidR="00D76B1E" w:rsidRDefault="001C3025" w:rsidP="00D76B1E">
      <w:r>
        <w:t xml:space="preserve">The specific shape memory alloy </w:t>
      </w:r>
      <w:r w:rsidR="00BE4F8A">
        <w:t>of interest is Ni-Ti alloy</w:t>
      </w:r>
      <w:r w:rsidR="00086864">
        <w:t xml:space="preserve"> (</w:t>
      </w:r>
      <w:proofErr w:type="spellStart"/>
      <w:r w:rsidR="00086864">
        <w:t>Nitinol</w:t>
      </w:r>
      <w:proofErr w:type="spellEnd"/>
      <w:r w:rsidR="00086864">
        <w:t>)</w:t>
      </w:r>
      <w:r w:rsidR="00BE4F8A">
        <w:t xml:space="preserve"> </w:t>
      </w:r>
      <w:r w:rsidR="00F75557">
        <w:t xml:space="preserve">due to its commercial availability and desirable transition temperatures </w:t>
      </w:r>
      <w:r w:rsidR="00D76B1E">
        <w:t>between -</w:t>
      </w:r>
      <w:r w:rsidR="00D76B1E">
        <w:t>100°C and</w:t>
      </w:r>
      <w:r w:rsidR="00D76B1E">
        <w:t xml:space="preserve"> </w:t>
      </w:r>
      <w:r w:rsidR="00D76B1E">
        <w:t>100°C</w:t>
      </w:r>
      <w:sdt>
        <w:sdtPr>
          <w:id w:val="1477646298"/>
          <w:citation/>
        </w:sdtPr>
        <w:sdtContent>
          <w:r w:rsidR="00D76B1E">
            <w:fldChar w:fldCharType="begin"/>
          </w:r>
          <w:r w:rsidR="00D76B1E">
            <w:rPr>
              <w:lang w:val="en-US"/>
            </w:rPr>
            <w:instrText xml:space="preserve"> CITATION Die95 \l 1033 </w:instrText>
          </w:r>
          <w:r w:rsidR="00D76B1E">
            <w:fldChar w:fldCharType="separate"/>
          </w:r>
          <w:r w:rsidR="00D76B1E">
            <w:rPr>
              <w:noProof/>
              <w:lang w:val="en-US"/>
            </w:rPr>
            <w:t xml:space="preserve"> </w:t>
          </w:r>
          <w:r w:rsidR="00D76B1E" w:rsidRPr="00D76B1E">
            <w:rPr>
              <w:noProof/>
              <w:lang w:val="en-US"/>
            </w:rPr>
            <w:t>(Stoeckel, 1995)</w:t>
          </w:r>
          <w:r w:rsidR="00D76B1E">
            <w:fldChar w:fldCharType="end"/>
          </w:r>
        </w:sdtContent>
      </w:sdt>
      <w:r w:rsidR="00D76B1E">
        <w:t xml:space="preserve">. Copper based SMA is available as well but will not be pursued since it </w:t>
      </w:r>
      <w:r w:rsidR="00086864">
        <w:t xml:space="preserve">is more brittle and less stable compared to Ni-Ti alloys </w:t>
      </w:r>
      <w:sdt>
        <w:sdtPr>
          <w:id w:val="-1554536263"/>
          <w:citation/>
        </w:sdtPr>
        <w:sdtContent>
          <w:r w:rsidR="00086864">
            <w:fldChar w:fldCharType="begin"/>
          </w:r>
          <w:r w:rsidR="00086864">
            <w:rPr>
              <w:lang w:val="en-US"/>
            </w:rPr>
            <w:instrText xml:space="preserve"> CITATION Die95 \l 1033 </w:instrText>
          </w:r>
          <w:r w:rsidR="00086864">
            <w:fldChar w:fldCharType="separate"/>
          </w:r>
          <w:r w:rsidR="00086864" w:rsidRPr="00086864">
            <w:rPr>
              <w:noProof/>
              <w:lang w:val="en-US"/>
            </w:rPr>
            <w:t>(Stoeckel, 1995)</w:t>
          </w:r>
          <w:r w:rsidR="00086864">
            <w:fldChar w:fldCharType="end"/>
          </w:r>
        </w:sdtContent>
      </w:sdt>
      <w:r w:rsidR="00086864">
        <w:t>.</w:t>
      </w:r>
    </w:p>
    <w:p w:rsidR="00B85C31" w:rsidRDefault="002D163C" w:rsidP="00B85C31">
      <w:r>
        <w:t xml:space="preserve">The energy source to activate actuation of the </w:t>
      </w:r>
      <w:r w:rsidR="001929D9">
        <w:t>SMA</w:t>
      </w:r>
      <w:r>
        <w:t xml:space="preserve"> can come from resistive heating of </w:t>
      </w:r>
      <w:r w:rsidR="001929D9">
        <w:t>the SMA</w:t>
      </w:r>
      <w:r>
        <w:t xml:space="preserve"> or resistive heating of an element that is in contact with the </w:t>
      </w:r>
      <w:r w:rsidR="00FB6708">
        <w:t>SMA</w:t>
      </w:r>
      <w:sdt>
        <w:sdtPr>
          <w:id w:val="709077943"/>
          <w:citation/>
        </w:sdtPr>
        <w:sdtContent>
          <w:r w:rsidR="00143D46">
            <w:fldChar w:fldCharType="begin"/>
          </w:r>
          <w:r w:rsidR="00143D46">
            <w:rPr>
              <w:lang w:val="en-US"/>
            </w:rPr>
            <w:instrText xml:space="preserve"> CITATION Jam10 \l 1033 </w:instrText>
          </w:r>
          <w:r w:rsidR="00143D46">
            <w:fldChar w:fldCharType="separate"/>
          </w:r>
          <w:r w:rsidR="00143D46">
            <w:rPr>
              <w:noProof/>
              <w:lang w:val="en-US"/>
            </w:rPr>
            <w:t xml:space="preserve"> </w:t>
          </w:r>
          <w:r w:rsidR="00143D46" w:rsidRPr="00143D46">
            <w:rPr>
              <w:noProof/>
              <w:lang w:val="en-US"/>
            </w:rPr>
            <w:t>(Paik, 2010)</w:t>
          </w:r>
          <w:r w:rsidR="00143D46">
            <w:fldChar w:fldCharType="end"/>
          </w:r>
        </w:sdtContent>
      </w:sdt>
      <w:r w:rsidR="00D24D25">
        <w:t xml:space="preserve">. </w:t>
      </w:r>
      <w:r w:rsidR="001F3D81">
        <w:t>However, the use of only sunlight to heat the SMA</w:t>
      </w:r>
      <w:r w:rsidR="00D24D25">
        <w:t xml:space="preserve"> </w:t>
      </w:r>
      <w:r w:rsidR="001F3D81">
        <w:t xml:space="preserve">will also be explored since it </w:t>
      </w:r>
      <w:r w:rsidR="00D24D25">
        <w:t xml:space="preserve">offers the </w:t>
      </w:r>
      <w:r w:rsidR="004D572E">
        <w:t>possibility</w:t>
      </w:r>
      <w:r w:rsidR="00D24D25">
        <w:t xml:space="preserve"> of zero energy consumption</w:t>
      </w:r>
      <w:r w:rsidR="001F3D81" w:rsidRPr="001F3D81">
        <w:t xml:space="preserve"> </w:t>
      </w:r>
      <w:r w:rsidR="001F3D81">
        <w:t>compared to resistive heating</w:t>
      </w:r>
      <w:r w:rsidR="00D24D25">
        <w:t xml:space="preserve">. </w:t>
      </w:r>
      <w:r w:rsidR="00143D46">
        <w:t xml:space="preserve">The feasibility of </w:t>
      </w:r>
      <w:r w:rsidR="001929D9">
        <w:t>using the sun for heating</w:t>
      </w:r>
      <w:r w:rsidR="00143D46">
        <w:t xml:space="preserve"> will be assessed by calculating the </w:t>
      </w:r>
      <w:r w:rsidR="001929D9">
        <w:t>temperature rise in the SMA</w:t>
      </w:r>
      <w:r w:rsidR="001929D9" w:rsidRPr="001929D9">
        <w:t xml:space="preserve"> </w:t>
      </w:r>
      <w:r w:rsidR="00FB6708">
        <w:t>when exposed to sunlight</w:t>
      </w:r>
      <w:r w:rsidR="001929D9">
        <w:t xml:space="preserve"> in Austin, Texas and determining if it is higher than the activation temperature. </w:t>
      </w:r>
      <w:r w:rsidR="002658EC">
        <w:t xml:space="preserve">Resistive heating of the </w:t>
      </w:r>
      <w:r w:rsidR="001929D9">
        <w:t>SMA</w:t>
      </w:r>
      <w:r w:rsidR="002658EC">
        <w:t xml:space="preserve"> itself can be </w:t>
      </w:r>
      <w:r w:rsidR="00FB6708">
        <w:t>a more reliable</w:t>
      </w:r>
      <w:r w:rsidR="002658EC">
        <w:t xml:space="preserve"> way to reach the activation temperature, but the energy requirement is high </w:t>
      </w:r>
      <w:r w:rsidR="001929D9">
        <w:t xml:space="preserve">for </w:t>
      </w:r>
      <w:proofErr w:type="spellStart"/>
      <w:r w:rsidR="001929D9">
        <w:t>Nitinol</w:t>
      </w:r>
      <w:proofErr w:type="spellEnd"/>
      <w:r w:rsidR="001929D9">
        <w:t xml:space="preserve"> </w:t>
      </w:r>
      <w:r w:rsidR="002658EC">
        <w:t xml:space="preserve">due to </w:t>
      </w:r>
      <w:r w:rsidR="001929D9">
        <w:t>its</w:t>
      </w:r>
      <w:r w:rsidR="002658EC">
        <w:t xml:space="preserve"> relatively low </w:t>
      </w:r>
      <w:r w:rsidR="00C86FF0">
        <w:t xml:space="preserve">electrical </w:t>
      </w:r>
      <w:r w:rsidR="002658EC">
        <w:t>resist</w:t>
      </w:r>
      <w:r w:rsidR="004C5B48">
        <w:t>ivity</w:t>
      </w:r>
      <w:r w:rsidR="002658EC">
        <w:t xml:space="preserve"> of </w:t>
      </w:r>
      <w:r w:rsidR="004C5B48">
        <w:t>90x</w:t>
      </w:r>
      <w:r w:rsidR="004C5B48" w:rsidRPr="004C5B48">
        <w:t>10</w:t>
      </w:r>
      <w:r w:rsidR="004C5B48" w:rsidRPr="004C5B48">
        <w:rPr>
          <w:vertAlign w:val="superscript"/>
        </w:rPr>
        <w:t>−9</w:t>
      </w:r>
      <w:r w:rsidR="004C5B48" w:rsidRPr="004C5B48">
        <w:t xml:space="preserve"> </w:t>
      </w:r>
      <w:r w:rsidR="004C5B48" w:rsidRPr="004C5B48">
        <w:rPr>
          <w:b/>
          <w:bCs/>
        </w:rPr>
        <w:t xml:space="preserve">Ω </w:t>
      </w:r>
      <w:r w:rsidR="004C5B48">
        <w:t xml:space="preserve">m compared to a more resistive metal like </w:t>
      </w:r>
      <w:r w:rsidR="004C5B48" w:rsidRPr="004C5B48">
        <w:t>Ni–Cr</w:t>
      </w:r>
      <w:r w:rsidR="004C5B48">
        <w:t xml:space="preserve"> which </w:t>
      </w:r>
      <w:r w:rsidR="00C9713E">
        <w:t>has an electrical resistivity of 1500</w:t>
      </w:r>
      <w:r w:rsidR="00C9713E">
        <w:t>x</w:t>
      </w:r>
      <w:r w:rsidR="00C9713E" w:rsidRPr="004C5B48">
        <w:t>10</w:t>
      </w:r>
      <w:r w:rsidR="00C9713E" w:rsidRPr="004C5B48">
        <w:rPr>
          <w:vertAlign w:val="superscript"/>
        </w:rPr>
        <w:t>−9</w:t>
      </w:r>
      <w:r w:rsidR="00C9713E" w:rsidRPr="004C5B48">
        <w:t xml:space="preserve"> </w:t>
      </w:r>
      <w:r w:rsidR="00C9713E" w:rsidRPr="004C5B48">
        <w:rPr>
          <w:b/>
          <w:bCs/>
        </w:rPr>
        <w:t xml:space="preserve">Ω </w:t>
      </w:r>
      <w:r w:rsidR="00C9713E">
        <w:t>m</w:t>
      </w:r>
      <w:sdt>
        <w:sdtPr>
          <w:id w:val="-542440771"/>
          <w:citation/>
        </w:sdtPr>
        <w:sdtContent>
          <w:r w:rsidR="00C9713E">
            <w:fldChar w:fldCharType="begin"/>
          </w:r>
          <w:r w:rsidR="00C9713E">
            <w:rPr>
              <w:lang w:val="en-US"/>
            </w:rPr>
            <w:instrText xml:space="preserve"> CITATION Jam10 \l 1033 </w:instrText>
          </w:r>
          <w:r w:rsidR="00C9713E">
            <w:fldChar w:fldCharType="separate"/>
          </w:r>
          <w:r w:rsidR="00C9713E">
            <w:rPr>
              <w:noProof/>
              <w:lang w:val="en-US"/>
            </w:rPr>
            <w:t xml:space="preserve"> </w:t>
          </w:r>
          <w:r w:rsidR="00C9713E" w:rsidRPr="00C9713E">
            <w:rPr>
              <w:noProof/>
              <w:lang w:val="en-US"/>
            </w:rPr>
            <w:t>(Paik, 2010)</w:t>
          </w:r>
          <w:r w:rsidR="00C9713E">
            <w:fldChar w:fldCharType="end"/>
          </w:r>
        </w:sdtContent>
      </w:sdt>
      <w:r w:rsidR="002658EC">
        <w:t xml:space="preserve">. </w:t>
      </w:r>
      <w:r w:rsidR="00C9713E">
        <w:t>Therefore</w:t>
      </w:r>
      <w:r w:rsidR="002658EC">
        <w:t xml:space="preserve">, </w:t>
      </w:r>
      <w:r w:rsidR="00C9713E">
        <w:t xml:space="preserve">with Paik’s method of using </w:t>
      </w:r>
      <w:r w:rsidR="00FB6708" w:rsidRPr="004C5B48">
        <w:t>Ni–Cr</w:t>
      </w:r>
      <w:r w:rsidR="002658EC">
        <w:t xml:space="preserve"> </w:t>
      </w:r>
      <w:r w:rsidR="003536A8">
        <w:t xml:space="preserve">coil </w:t>
      </w:r>
      <w:r w:rsidR="002658EC">
        <w:t xml:space="preserve">as a heating element </w:t>
      </w:r>
      <w:r w:rsidR="00C9713E">
        <w:t xml:space="preserve">in contact with </w:t>
      </w:r>
      <w:proofErr w:type="spellStart"/>
      <w:r w:rsidR="00FB6708">
        <w:t>Nitinol</w:t>
      </w:r>
      <w:proofErr w:type="spellEnd"/>
      <w:r w:rsidR="00C9713E">
        <w:t xml:space="preserve">, </w:t>
      </w:r>
      <w:r w:rsidR="002658EC">
        <w:t xml:space="preserve">energy efficiency of the </w:t>
      </w:r>
      <w:r w:rsidR="00FB6708">
        <w:t>actuator</w:t>
      </w:r>
      <w:r w:rsidR="00C9713E">
        <w:t xml:space="preserve"> can be improved</w:t>
      </w:r>
      <w:sdt>
        <w:sdtPr>
          <w:id w:val="-1617758491"/>
          <w:citation/>
        </w:sdtPr>
        <w:sdtContent>
          <w:r w:rsidR="00C9713E">
            <w:fldChar w:fldCharType="begin"/>
          </w:r>
          <w:r w:rsidR="00C9713E">
            <w:rPr>
              <w:lang w:val="en-US"/>
            </w:rPr>
            <w:instrText xml:space="preserve"> CITATION Jam10 \l 1033 </w:instrText>
          </w:r>
          <w:r w:rsidR="00C9713E">
            <w:fldChar w:fldCharType="separate"/>
          </w:r>
          <w:r w:rsidR="00C9713E">
            <w:rPr>
              <w:noProof/>
              <w:lang w:val="en-US"/>
            </w:rPr>
            <w:t xml:space="preserve"> </w:t>
          </w:r>
          <w:r w:rsidR="00C9713E" w:rsidRPr="00C9713E">
            <w:rPr>
              <w:noProof/>
              <w:lang w:val="en-US"/>
            </w:rPr>
            <w:t>(Paik, 2010)</w:t>
          </w:r>
          <w:r w:rsidR="00C9713E">
            <w:fldChar w:fldCharType="end"/>
          </w:r>
        </w:sdtContent>
      </w:sdt>
      <w:r w:rsidR="002658EC">
        <w:t>.</w:t>
      </w:r>
    </w:p>
    <w:p w:rsidR="00EB290A" w:rsidRDefault="00535B6B" w:rsidP="00B85C31">
      <w:r>
        <w:t>Once</w:t>
      </w:r>
      <w:r w:rsidR="00EB290A">
        <w:t xml:space="preserve"> </w:t>
      </w:r>
      <w:r>
        <w:t>it activates and cools down</w:t>
      </w:r>
      <w:r w:rsidR="00EB290A">
        <w:t xml:space="preserve">, returning the </w:t>
      </w:r>
      <w:r>
        <w:t>SMA</w:t>
      </w:r>
      <w:r w:rsidR="00EB290A">
        <w:t xml:space="preserve"> to its original shape </w:t>
      </w:r>
      <w:r w:rsidR="002D4517">
        <w:t>requires a reset force from</w:t>
      </w:r>
      <w:r w:rsidR="00EF0028">
        <w:t xml:space="preserve"> springs, opposing SMA actuators, or simply with gravity. </w:t>
      </w:r>
      <w:r w:rsidR="00F66C35">
        <w:t>As shown by</w:t>
      </w:r>
      <w:r w:rsidR="00D56B1A">
        <w:t xml:space="preserve"> </w:t>
      </w:r>
      <w:proofErr w:type="spellStart"/>
      <w:r w:rsidR="00D56B1A">
        <w:t>Stoeckel</w:t>
      </w:r>
      <w:proofErr w:type="spellEnd"/>
      <w:r w:rsidR="00F66C35">
        <w:t xml:space="preserve"> in</w:t>
      </w:r>
      <w:r w:rsidR="002D4517">
        <w:t xml:space="preserve"> </w:t>
      </w:r>
      <w:r w:rsidR="00D56B1A">
        <w:fldChar w:fldCharType="begin"/>
      </w:r>
      <w:r w:rsidR="00D56B1A">
        <w:instrText xml:space="preserve"> REF _Ref369462953 \h </w:instrText>
      </w:r>
      <w:r w:rsidR="00D56B1A">
        <w:fldChar w:fldCharType="separate"/>
      </w:r>
      <w:r w:rsidR="00D56B1A">
        <w:t xml:space="preserve">Figure </w:t>
      </w:r>
      <w:r w:rsidR="00D56B1A">
        <w:rPr>
          <w:noProof/>
        </w:rPr>
        <w:t>1</w:t>
      </w:r>
      <w:r w:rsidR="00D56B1A">
        <w:fldChar w:fldCharType="end"/>
      </w:r>
      <w:r w:rsidR="00D56B1A">
        <w:t>a</w:t>
      </w:r>
      <w:r w:rsidR="00F66C35">
        <w:t xml:space="preserve">, </w:t>
      </w:r>
      <w:r w:rsidR="00D56B1A">
        <w:t xml:space="preserve">the weight of the object that the SMA is actuating can be enough to exert the required reset force </w:t>
      </w:r>
      <w:sdt>
        <w:sdtPr>
          <w:id w:val="-12227599"/>
          <w:citation/>
        </w:sdtPr>
        <w:sdtContent>
          <w:r w:rsidR="00D56B1A">
            <w:fldChar w:fldCharType="begin"/>
          </w:r>
          <w:r w:rsidR="00D56B1A">
            <w:rPr>
              <w:lang w:val="en-US"/>
            </w:rPr>
            <w:instrText xml:space="preserve"> CITATION Die95 \l 1033 </w:instrText>
          </w:r>
          <w:r w:rsidR="00D56B1A">
            <w:fldChar w:fldCharType="separate"/>
          </w:r>
          <w:r w:rsidR="00D56B1A" w:rsidRPr="00D56B1A">
            <w:rPr>
              <w:noProof/>
              <w:lang w:val="en-US"/>
            </w:rPr>
            <w:t>(Stoeckel, 1995)</w:t>
          </w:r>
          <w:r w:rsidR="00D56B1A">
            <w:fldChar w:fldCharType="end"/>
          </w:r>
        </w:sdtContent>
      </w:sdt>
      <w:r w:rsidR="00D56B1A">
        <w:t xml:space="preserve">. </w:t>
      </w:r>
      <w:r w:rsidR="002059F9">
        <w:t>As well</w:t>
      </w:r>
      <w:r w:rsidR="00D56B1A">
        <w:t xml:space="preserve">, </w:t>
      </w:r>
      <w:r w:rsidR="00D56B1A">
        <w:fldChar w:fldCharType="begin"/>
      </w:r>
      <w:r w:rsidR="00D56B1A">
        <w:instrText xml:space="preserve"> REF _Ref369462953 \h </w:instrText>
      </w:r>
      <w:r w:rsidR="00D56B1A">
        <w:fldChar w:fldCharType="separate"/>
      </w:r>
      <w:r w:rsidR="00D56B1A">
        <w:t xml:space="preserve">Figure </w:t>
      </w:r>
      <w:r w:rsidR="00D56B1A">
        <w:rPr>
          <w:noProof/>
        </w:rPr>
        <w:t>1</w:t>
      </w:r>
      <w:r w:rsidR="00D56B1A">
        <w:fldChar w:fldCharType="end"/>
      </w:r>
      <w:r w:rsidR="00D56B1A">
        <w:t xml:space="preserve">b shows how a spring can be used to store some of the </w:t>
      </w:r>
      <w:r w:rsidR="002059F9">
        <w:t>energy</w:t>
      </w:r>
      <w:r w:rsidR="00D56B1A">
        <w:t xml:space="preserve"> exerted by the SMA during actuation </w:t>
      </w:r>
      <w:r>
        <w:t>to reset the SMA.</w:t>
      </w:r>
      <w:r w:rsidR="001E4735">
        <w:t xml:space="preserve"> </w:t>
      </w:r>
      <w:r w:rsidR="001E4735">
        <w:fldChar w:fldCharType="begin"/>
      </w:r>
      <w:r w:rsidR="001E4735">
        <w:instrText xml:space="preserve"> REF _Ref369462953 \h </w:instrText>
      </w:r>
      <w:r w:rsidR="001E4735">
        <w:fldChar w:fldCharType="separate"/>
      </w:r>
      <w:r w:rsidR="001E4735">
        <w:t xml:space="preserve">Figure </w:t>
      </w:r>
      <w:r w:rsidR="001E4735">
        <w:rPr>
          <w:noProof/>
        </w:rPr>
        <w:t>1</w:t>
      </w:r>
      <w:r w:rsidR="001E4735">
        <w:fldChar w:fldCharType="end"/>
      </w:r>
      <w:r w:rsidR="001E4735">
        <w:t>c shows how SMA actuators can also be used to reset other actuators when one is activated while the other one is not</w:t>
      </w:r>
      <w:r w:rsidR="00BE1CB5">
        <w:t>.</w:t>
      </w:r>
      <w:r w:rsidR="001E4735">
        <w:t xml:space="preserve"> </w:t>
      </w:r>
      <w:r w:rsidR="001E4735">
        <w:fldChar w:fldCharType="begin"/>
      </w:r>
      <w:r w:rsidR="001E4735">
        <w:instrText xml:space="preserve"> REF _Ref369467098 \h </w:instrText>
      </w:r>
      <w:r w:rsidR="001E4735">
        <w:fldChar w:fldCharType="separate"/>
      </w:r>
      <w:r w:rsidR="001E4735">
        <w:t xml:space="preserve">Figure </w:t>
      </w:r>
      <w:r w:rsidR="001E4735">
        <w:rPr>
          <w:noProof/>
        </w:rPr>
        <w:t>2</w:t>
      </w:r>
      <w:r w:rsidR="001E4735">
        <w:fldChar w:fldCharType="end"/>
      </w:r>
      <w:r w:rsidR="001E4735">
        <w:t xml:space="preserve"> shows how each reset principal can be applied to the blind design with the SMA actuators in red and blue corresponding respectively to activated and non-activated states.</w:t>
      </w:r>
      <w:r w:rsidR="00BE1CB5">
        <w:t xml:space="preserve"> </w:t>
      </w:r>
      <w:r w:rsidR="00101F80">
        <w:t>S</w:t>
      </w:r>
      <w:r w:rsidR="002059F9">
        <w:t xml:space="preserve">ince the force from </w:t>
      </w:r>
      <w:r w:rsidR="002059F9">
        <w:t xml:space="preserve">springs </w:t>
      </w:r>
      <w:r w:rsidR="002059F9">
        <w:t>and</w:t>
      </w:r>
      <w:r w:rsidR="002059F9">
        <w:t xml:space="preserve"> gravity</w:t>
      </w:r>
      <w:r w:rsidR="002059F9">
        <w:t xml:space="preserve"> will always </w:t>
      </w:r>
      <w:r w:rsidR="00101F80">
        <w:t>keep resetting the blind to an open state unless the SMA actuators are activated,</w:t>
      </w:r>
      <w:r w:rsidR="002059F9">
        <w:t xml:space="preserve"> </w:t>
      </w:r>
      <w:r w:rsidR="00BE1CB5">
        <w:t xml:space="preserve">a constant power source would be required </w:t>
      </w:r>
      <w:r w:rsidR="00101F80">
        <w:t>to keep the blind closed.</w:t>
      </w:r>
      <w:r w:rsidR="00BE1CB5">
        <w:t xml:space="preserve"> </w:t>
      </w:r>
      <w:r w:rsidR="00523194">
        <w:t>In our design, s</w:t>
      </w:r>
      <w:r w:rsidR="00101F80">
        <w:t>hape resetting with o</w:t>
      </w:r>
      <w:r w:rsidR="00BE1CB5">
        <w:t xml:space="preserve">pposing SMA actuators only </w:t>
      </w:r>
      <w:r w:rsidR="00101F80">
        <w:t xml:space="preserve">require power while opening or closing the blind and thus have </w:t>
      </w:r>
      <w:r w:rsidR="00523194">
        <w:t>lower electrical energy use</w:t>
      </w:r>
      <w:r w:rsidR="00101F80">
        <w:t xml:space="preserve"> over gravity or springs</w:t>
      </w:r>
      <w:r w:rsidR="00BE1CB5">
        <w:t>.</w:t>
      </w:r>
      <w:r w:rsidR="00523194">
        <w:t xml:space="preserve"> However, using multiple SMA actuators will result in increased cost.</w:t>
      </w:r>
    </w:p>
    <w:p w:rsidR="002D4517" w:rsidRDefault="002D4517" w:rsidP="002D4517">
      <w:pPr>
        <w:keepNext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15F8A5A1" wp14:editId="7EF6D778">
            <wp:extent cx="4701540" cy="3416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17" w:rsidRDefault="002D4517" w:rsidP="002D4517">
      <w:pPr>
        <w:pStyle w:val="Caption"/>
        <w:jc w:val="center"/>
      </w:pPr>
      <w:bookmarkStart w:id="0" w:name="_Ref369462944"/>
      <w:bookmarkStart w:id="1" w:name="_Ref36946295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423A31">
        <w:rPr>
          <w:noProof/>
        </w:rPr>
        <w:t>1</w:t>
      </w:r>
      <w:r>
        <w:fldChar w:fldCharType="end"/>
      </w:r>
      <w:bookmarkEnd w:id="1"/>
      <w:r>
        <w:t xml:space="preserve"> - Three Types of Reset Force</w:t>
      </w:r>
      <w:r w:rsidR="00101F80">
        <w:t>s</w:t>
      </w:r>
      <w:r>
        <w:t xml:space="preserve"> for SMA</w:t>
      </w:r>
      <w:bookmarkEnd w:id="0"/>
    </w:p>
    <w:p w:rsidR="00423A31" w:rsidRDefault="001E4735" w:rsidP="00423A31">
      <w:r>
        <w:rPr>
          <w:noProof/>
          <w:lang w:val="en-US"/>
        </w:rPr>
        <w:drawing>
          <wp:inline distT="0" distB="0" distL="0" distR="0" wp14:anchorId="5EB50975" wp14:editId="6238B8E0">
            <wp:extent cx="5943600" cy="1647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31" w:rsidRPr="00423A31" w:rsidRDefault="00423A31" w:rsidP="00423A31">
      <w:pPr>
        <w:pStyle w:val="Caption"/>
        <w:jc w:val="center"/>
      </w:pPr>
      <w:bookmarkStart w:id="2" w:name="_Ref36946709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2"/>
      <w:r>
        <w:t xml:space="preserve"> - Three Types of Reset Force</w:t>
      </w:r>
      <w:r w:rsidR="00101F80">
        <w:t>s</w:t>
      </w:r>
      <w:r>
        <w:t xml:space="preserve"> Applied to Blind Design</w:t>
      </w:r>
    </w:p>
    <w:p w:rsidR="00B85C31" w:rsidRPr="004D572E" w:rsidRDefault="00BE1CB5" w:rsidP="00B85C31">
      <w:r>
        <w:t>Ideally, a design that utilizes sunlight as the sole energy source for actuation</w:t>
      </w:r>
      <w:r w:rsidR="003214ED">
        <w:t xml:space="preserve"> of </w:t>
      </w:r>
      <w:proofErr w:type="spellStart"/>
      <w:r w:rsidR="003214ED">
        <w:t>Nitinol</w:t>
      </w:r>
      <w:proofErr w:type="spellEnd"/>
      <w:r>
        <w:t xml:space="preserve"> is used since it </w:t>
      </w:r>
      <w:r w:rsidR="004D572E">
        <w:t>can achieve autonomous operation without using other sources of energy.</w:t>
      </w:r>
      <w:r>
        <w:t xml:space="preserve"> </w:t>
      </w:r>
      <w:r w:rsidR="004D572E">
        <w:t xml:space="preserve">If this design is not </w:t>
      </w:r>
      <w:r w:rsidR="00F51B6D">
        <w:t>feasible</w:t>
      </w:r>
      <w:r w:rsidR="004D572E">
        <w:t>, then a</w:t>
      </w:r>
      <w:r w:rsidR="00D22787">
        <w:t>n alternative</w:t>
      </w:r>
      <w:r w:rsidR="004D572E">
        <w:t xml:space="preserve"> design using </w:t>
      </w:r>
      <w:r w:rsidR="003214ED">
        <w:t>resistive heating</w:t>
      </w:r>
      <w:r w:rsidR="004D572E">
        <w:t xml:space="preserve"> can be used in conjunction with </w:t>
      </w:r>
      <w:r w:rsidR="00943898">
        <w:t xml:space="preserve">a light sensing controller. This option </w:t>
      </w:r>
      <w:r w:rsidR="00F51B6D">
        <w:t>is more likely to work</w:t>
      </w:r>
      <w:r w:rsidR="00C14A5B">
        <w:t>, but involves more components.</w:t>
      </w:r>
    </w:p>
    <w:p w:rsidR="008D0897" w:rsidRDefault="008D0897">
      <w:r>
        <w:br w:type="page"/>
      </w:r>
      <w:bookmarkStart w:id="3" w:name="_GoBack"/>
      <w:bookmarkEnd w:id="3"/>
    </w:p>
    <w:sdt>
      <w:sdtPr>
        <w:id w:val="842126810"/>
        <w:docPartObj>
          <w:docPartGallery w:val="Bibliographies"/>
          <w:docPartUnique/>
        </w:docPartObj>
      </w:sdtPr>
      <w:sdtEndPr>
        <w:rPr>
          <w:rFonts w:ascii="Arial" w:hAnsi="Arial"/>
          <w:b w:val="0"/>
          <w:bCs w:val="0"/>
          <w:caps w:val="0"/>
          <w:color w:val="auto"/>
          <w:spacing w:val="0"/>
          <w:szCs w:val="20"/>
        </w:rPr>
      </w:sdtEndPr>
      <w:sdtContent>
        <w:p w:rsidR="008D0897" w:rsidRDefault="008D0897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Content>
            <w:p w:rsidR="008D0897" w:rsidRDefault="008D0897" w:rsidP="008D0897">
              <w:pPr>
                <w:pStyle w:val="Bibliography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Dynalloy, Inc. (2012). </w:t>
              </w:r>
              <w:r>
                <w:rPr>
                  <w:i/>
                  <w:iCs/>
                  <w:noProof/>
                </w:rPr>
                <w:t xml:space="preserve">FLEXINOL® Actuator Wire Technical and Design Data </w:t>
              </w:r>
              <w:r>
                <w:rPr>
                  <w:noProof/>
                </w:rPr>
                <w:t>. Retrieved October 13, 2013, from Dynalloy: http://www.dynalloy.com/TechDataWire.php</w:t>
              </w:r>
            </w:p>
            <w:p w:rsidR="008D0897" w:rsidRDefault="008D0897" w:rsidP="008D089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Liu, C., Qin, H., &amp; Mather, P. T. (2007). Review of progress in shape-memory polymers. </w:t>
              </w:r>
              <w:r>
                <w:rPr>
                  <w:i/>
                  <w:iCs/>
                  <w:noProof/>
                </w:rPr>
                <w:t>Journal of Materials Chemistry</w:t>
              </w:r>
              <w:r>
                <w:rPr>
                  <w:noProof/>
                </w:rPr>
                <w:t>, 1543-1558.</w:t>
              </w:r>
            </w:p>
            <w:p w:rsidR="008D0897" w:rsidRDefault="008D0897" w:rsidP="008D089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Paik, J. K. (2010). A novel low-profile shape memory alloy. </w:t>
              </w:r>
              <w:r>
                <w:rPr>
                  <w:i/>
                  <w:iCs/>
                  <w:noProof/>
                </w:rPr>
                <w:t>SMART MATERIALS AND STRUCTURES</w:t>
              </w:r>
              <w:r>
                <w:rPr>
                  <w:noProof/>
                </w:rPr>
                <w:t>, 1-9.</w:t>
              </w:r>
            </w:p>
            <w:p w:rsidR="008D0897" w:rsidRDefault="008D0897" w:rsidP="008D089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Stoeckel, D. (1995). Shape Memory Alloys for Power Systems EPRI. </w:t>
              </w:r>
              <w:r>
                <w:rPr>
                  <w:i/>
                  <w:iCs/>
                  <w:noProof/>
                </w:rPr>
                <w:t xml:space="preserve">The Shape Memory Effect </w:t>
              </w:r>
              <w:r>
                <w:rPr>
                  <w:rFonts w:ascii="Cambria Math" w:hAnsi="Cambria Math" w:cs="Cambria Math"/>
                  <w:i/>
                  <w:iCs/>
                  <w:noProof/>
                </w:rPr>
                <w:t>‐</w:t>
              </w:r>
              <w:r>
                <w:rPr>
                  <w:i/>
                  <w:iCs/>
                  <w:noProof/>
                </w:rPr>
                <w:t xml:space="preserve"> Phenomenon, Alloys and Applications</w:t>
              </w:r>
              <w:r>
                <w:rPr>
                  <w:noProof/>
                </w:rPr>
                <w:t xml:space="preserve"> (pp. 1-13). Fremont, CA: Nitinol Devices &amp; Components, Inc.</w:t>
              </w:r>
            </w:p>
            <w:p w:rsidR="008D0897" w:rsidRDefault="008D0897" w:rsidP="008D0897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BF5A15" w:rsidRDefault="00BF5A15" w:rsidP="008D0897"/>
    <w:sectPr w:rsidR="00BF5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77A"/>
    <w:multiLevelType w:val="hybridMultilevel"/>
    <w:tmpl w:val="4E04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31"/>
    <w:rsid w:val="00082860"/>
    <w:rsid w:val="00086864"/>
    <w:rsid w:val="00092E9E"/>
    <w:rsid w:val="000E27E2"/>
    <w:rsid w:val="000E6356"/>
    <w:rsid w:val="00101F80"/>
    <w:rsid w:val="0011680F"/>
    <w:rsid w:val="00143D46"/>
    <w:rsid w:val="00150EAD"/>
    <w:rsid w:val="001929D9"/>
    <w:rsid w:val="001A0C03"/>
    <w:rsid w:val="001C3025"/>
    <w:rsid w:val="001E4735"/>
    <w:rsid w:val="001F3D81"/>
    <w:rsid w:val="002059F9"/>
    <w:rsid w:val="002658EC"/>
    <w:rsid w:val="00296BA4"/>
    <w:rsid w:val="002D163C"/>
    <w:rsid w:val="002D4517"/>
    <w:rsid w:val="003214ED"/>
    <w:rsid w:val="003536A8"/>
    <w:rsid w:val="00423A31"/>
    <w:rsid w:val="004C5B48"/>
    <w:rsid w:val="004D572E"/>
    <w:rsid w:val="00523194"/>
    <w:rsid w:val="00535B6B"/>
    <w:rsid w:val="005847DB"/>
    <w:rsid w:val="00610B9E"/>
    <w:rsid w:val="006446EF"/>
    <w:rsid w:val="00852E36"/>
    <w:rsid w:val="008D0897"/>
    <w:rsid w:val="0091216C"/>
    <w:rsid w:val="00943898"/>
    <w:rsid w:val="00B85C31"/>
    <w:rsid w:val="00BE130D"/>
    <w:rsid w:val="00BE1CB5"/>
    <w:rsid w:val="00BE4F8A"/>
    <w:rsid w:val="00BF5A15"/>
    <w:rsid w:val="00C14A5B"/>
    <w:rsid w:val="00C86FF0"/>
    <w:rsid w:val="00C9713E"/>
    <w:rsid w:val="00D22787"/>
    <w:rsid w:val="00D24D25"/>
    <w:rsid w:val="00D30964"/>
    <w:rsid w:val="00D56B1A"/>
    <w:rsid w:val="00D76B1E"/>
    <w:rsid w:val="00EA7957"/>
    <w:rsid w:val="00EB290A"/>
    <w:rsid w:val="00EF0028"/>
    <w:rsid w:val="00F22A45"/>
    <w:rsid w:val="00F37117"/>
    <w:rsid w:val="00F51B6D"/>
    <w:rsid w:val="00F66C35"/>
    <w:rsid w:val="00F75557"/>
    <w:rsid w:val="00FB6708"/>
    <w:rsid w:val="00FD2D6F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9E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30D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30D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30D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rFonts w:asciiTheme="minorHAnsi" w:hAnsiTheme="minorHAnsi"/>
      <w:caps/>
      <w:color w:val="9A004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30D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rFonts w:asciiTheme="minorHAnsi" w:hAnsiTheme="minorHAnsi"/>
      <w:caps/>
      <w:color w:val="E8006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30D"/>
    <w:pPr>
      <w:pBdr>
        <w:bottom w:val="single" w:sz="6" w:space="1" w:color="FF388C" w:themeColor="accent1"/>
      </w:pBdr>
      <w:spacing w:before="300" w:after="0"/>
      <w:outlineLvl w:val="4"/>
    </w:pPr>
    <w:rPr>
      <w:rFonts w:asciiTheme="minorHAnsi" w:hAnsiTheme="minorHAnsi"/>
      <w:caps/>
      <w:color w:val="E8006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30D"/>
    <w:pPr>
      <w:pBdr>
        <w:bottom w:val="dotted" w:sz="6" w:space="1" w:color="FF388C" w:themeColor="accent1"/>
      </w:pBdr>
      <w:spacing w:before="300" w:after="0"/>
      <w:outlineLvl w:val="5"/>
    </w:pPr>
    <w:rPr>
      <w:rFonts w:asciiTheme="minorHAnsi" w:hAnsiTheme="minorHAnsi"/>
      <w:caps/>
      <w:color w:val="E8006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30D"/>
    <w:pPr>
      <w:spacing w:before="300" w:after="0"/>
      <w:outlineLvl w:val="6"/>
    </w:pPr>
    <w:rPr>
      <w:rFonts w:asciiTheme="minorHAnsi" w:hAnsiTheme="minorHAnsi"/>
      <w:caps/>
      <w:color w:val="E8006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30D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30D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30D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30D"/>
    <w:rPr>
      <w:caps/>
      <w:spacing w:val="15"/>
      <w:shd w:val="clear" w:color="auto" w:fill="FFD7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30D"/>
    <w:rPr>
      <w:caps/>
      <w:color w:val="9A004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30D"/>
    <w:rPr>
      <w:caps/>
      <w:color w:val="E800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30D"/>
    <w:rPr>
      <w:caps/>
      <w:color w:val="E800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30D"/>
    <w:rPr>
      <w:caps/>
      <w:color w:val="E800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30D"/>
    <w:rPr>
      <w:caps/>
      <w:color w:val="E800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30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30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E130D"/>
    <w:rPr>
      <w:b/>
      <w:bCs/>
      <w:color w:val="E8006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130D"/>
    <w:pPr>
      <w:spacing w:before="720"/>
    </w:pPr>
    <w:rPr>
      <w:rFonts w:asciiTheme="minorHAnsi" w:hAnsiTheme="minorHAnsi"/>
      <w:caps/>
      <w:color w:val="FF388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30D"/>
    <w:rPr>
      <w:caps/>
      <w:color w:val="FF388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30D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130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E130D"/>
    <w:rPr>
      <w:b/>
      <w:bCs/>
    </w:rPr>
  </w:style>
  <w:style w:type="character" w:styleId="Emphasis">
    <w:name w:val="Emphasis"/>
    <w:uiPriority w:val="20"/>
    <w:qFormat/>
    <w:rsid w:val="00BE130D"/>
    <w:rPr>
      <w:caps/>
      <w:color w:val="9A004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E130D"/>
    <w:pPr>
      <w:spacing w:before="0" w:after="0" w:line="240" w:lineRule="auto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E130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E13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130D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BE130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30D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FF388C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30D"/>
    <w:rPr>
      <w:i/>
      <w:iCs/>
      <w:color w:val="FF388C" w:themeColor="accent1"/>
      <w:sz w:val="20"/>
      <w:szCs w:val="20"/>
    </w:rPr>
  </w:style>
  <w:style w:type="character" w:styleId="SubtleEmphasis">
    <w:name w:val="Subtle Emphasis"/>
    <w:uiPriority w:val="19"/>
    <w:qFormat/>
    <w:rsid w:val="00BE130D"/>
    <w:rPr>
      <w:i/>
      <w:iCs/>
      <w:color w:val="9A0040" w:themeColor="accent1" w:themeShade="7F"/>
    </w:rPr>
  </w:style>
  <w:style w:type="character" w:styleId="IntenseEmphasis">
    <w:name w:val="Intense Emphasis"/>
    <w:uiPriority w:val="21"/>
    <w:qFormat/>
    <w:rsid w:val="00BE130D"/>
    <w:rPr>
      <w:b/>
      <w:bCs/>
      <w:caps/>
      <w:color w:val="9A0040" w:themeColor="accent1" w:themeShade="7F"/>
      <w:spacing w:val="10"/>
    </w:rPr>
  </w:style>
  <w:style w:type="character" w:styleId="SubtleReference">
    <w:name w:val="Subtle Reference"/>
    <w:uiPriority w:val="31"/>
    <w:qFormat/>
    <w:rsid w:val="00BE130D"/>
    <w:rPr>
      <w:b/>
      <w:bCs/>
      <w:color w:val="FF388C" w:themeColor="accent1"/>
    </w:rPr>
  </w:style>
  <w:style w:type="character" w:styleId="IntenseReference">
    <w:name w:val="Intense Reference"/>
    <w:uiPriority w:val="32"/>
    <w:qFormat/>
    <w:rsid w:val="00BE130D"/>
    <w:rPr>
      <w:b/>
      <w:bCs/>
      <w:i/>
      <w:iCs/>
      <w:caps/>
      <w:color w:val="FF388C" w:themeColor="accent1"/>
    </w:rPr>
  </w:style>
  <w:style w:type="character" w:styleId="BookTitle">
    <w:name w:val="Book Title"/>
    <w:uiPriority w:val="33"/>
    <w:qFormat/>
    <w:rsid w:val="00BE130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130D"/>
    <w:pPr>
      <w:outlineLvl w:val="9"/>
    </w:pPr>
    <w:rPr>
      <w:rFonts w:ascii="Arial" w:hAnsi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80F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0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68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8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80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8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80F"/>
    <w:rPr>
      <w:rFonts w:ascii="Arial" w:hAnsi="Arial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D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9E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30D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30D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30D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rFonts w:asciiTheme="minorHAnsi" w:hAnsiTheme="minorHAnsi"/>
      <w:caps/>
      <w:color w:val="9A004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30D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rFonts w:asciiTheme="minorHAnsi" w:hAnsiTheme="minorHAnsi"/>
      <w:caps/>
      <w:color w:val="E8006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30D"/>
    <w:pPr>
      <w:pBdr>
        <w:bottom w:val="single" w:sz="6" w:space="1" w:color="FF388C" w:themeColor="accent1"/>
      </w:pBdr>
      <w:spacing w:before="300" w:after="0"/>
      <w:outlineLvl w:val="4"/>
    </w:pPr>
    <w:rPr>
      <w:rFonts w:asciiTheme="minorHAnsi" w:hAnsiTheme="minorHAnsi"/>
      <w:caps/>
      <w:color w:val="E8006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30D"/>
    <w:pPr>
      <w:pBdr>
        <w:bottom w:val="dotted" w:sz="6" w:space="1" w:color="FF388C" w:themeColor="accent1"/>
      </w:pBdr>
      <w:spacing w:before="300" w:after="0"/>
      <w:outlineLvl w:val="5"/>
    </w:pPr>
    <w:rPr>
      <w:rFonts w:asciiTheme="minorHAnsi" w:hAnsiTheme="minorHAnsi"/>
      <w:caps/>
      <w:color w:val="E8006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30D"/>
    <w:pPr>
      <w:spacing w:before="300" w:after="0"/>
      <w:outlineLvl w:val="6"/>
    </w:pPr>
    <w:rPr>
      <w:rFonts w:asciiTheme="minorHAnsi" w:hAnsiTheme="minorHAnsi"/>
      <w:caps/>
      <w:color w:val="E8006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30D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30D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30D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30D"/>
    <w:rPr>
      <w:caps/>
      <w:spacing w:val="15"/>
      <w:shd w:val="clear" w:color="auto" w:fill="FFD7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30D"/>
    <w:rPr>
      <w:caps/>
      <w:color w:val="9A004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30D"/>
    <w:rPr>
      <w:caps/>
      <w:color w:val="E800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30D"/>
    <w:rPr>
      <w:caps/>
      <w:color w:val="E800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30D"/>
    <w:rPr>
      <w:caps/>
      <w:color w:val="E800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30D"/>
    <w:rPr>
      <w:caps/>
      <w:color w:val="E800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30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30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E130D"/>
    <w:rPr>
      <w:b/>
      <w:bCs/>
      <w:color w:val="E8006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130D"/>
    <w:pPr>
      <w:spacing w:before="720"/>
    </w:pPr>
    <w:rPr>
      <w:rFonts w:asciiTheme="minorHAnsi" w:hAnsiTheme="minorHAnsi"/>
      <w:caps/>
      <w:color w:val="FF388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30D"/>
    <w:rPr>
      <w:caps/>
      <w:color w:val="FF388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30D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130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E130D"/>
    <w:rPr>
      <w:b/>
      <w:bCs/>
    </w:rPr>
  </w:style>
  <w:style w:type="character" w:styleId="Emphasis">
    <w:name w:val="Emphasis"/>
    <w:uiPriority w:val="20"/>
    <w:qFormat/>
    <w:rsid w:val="00BE130D"/>
    <w:rPr>
      <w:caps/>
      <w:color w:val="9A004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E130D"/>
    <w:pPr>
      <w:spacing w:before="0" w:after="0" w:line="240" w:lineRule="auto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E130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E13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130D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BE130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30D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FF388C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30D"/>
    <w:rPr>
      <w:i/>
      <w:iCs/>
      <w:color w:val="FF388C" w:themeColor="accent1"/>
      <w:sz w:val="20"/>
      <w:szCs w:val="20"/>
    </w:rPr>
  </w:style>
  <w:style w:type="character" w:styleId="SubtleEmphasis">
    <w:name w:val="Subtle Emphasis"/>
    <w:uiPriority w:val="19"/>
    <w:qFormat/>
    <w:rsid w:val="00BE130D"/>
    <w:rPr>
      <w:i/>
      <w:iCs/>
      <w:color w:val="9A0040" w:themeColor="accent1" w:themeShade="7F"/>
    </w:rPr>
  </w:style>
  <w:style w:type="character" w:styleId="IntenseEmphasis">
    <w:name w:val="Intense Emphasis"/>
    <w:uiPriority w:val="21"/>
    <w:qFormat/>
    <w:rsid w:val="00BE130D"/>
    <w:rPr>
      <w:b/>
      <w:bCs/>
      <w:caps/>
      <w:color w:val="9A0040" w:themeColor="accent1" w:themeShade="7F"/>
      <w:spacing w:val="10"/>
    </w:rPr>
  </w:style>
  <w:style w:type="character" w:styleId="SubtleReference">
    <w:name w:val="Subtle Reference"/>
    <w:uiPriority w:val="31"/>
    <w:qFormat/>
    <w:rsid w:val="00BE130D"/>
    <w:rPr>
      <w:b/>
      <w:bCs/>
      <w:color w:val="FF388C" w:themeColor="accent1"/>
    </w:rPr>
  </w:style>
  <w:style w:type="character" w:styleId="IntenseReference">
    <w:name w:val="Intense Reference"/>
    <w:uiPriority w:val="32"/>
    <w:qFormat/>
    <w:rsid w:val="00BE130D"/>
    <w:rPr>
      <w:b/>
      <w:bCs/>
      <w:i/>
      <w:iCs/>
      <w:caps/>
      <w:color w:val="FF388C" w:themeColor="accent1"/>
    </w:rPr>
  </w:style>
  <w:style w:type="character" w:styleId="BookTitle">
    <w:name w:val="Book Title"/>
    <w:uiPriority w:val="33"/>
    <w:qFormat/>
    <w:rsid w:val="00BE130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130D"/>
    <w:pPr>
      <w:outlineLvl w:val="9"/>
    </w:pPr>
    <w:rPr>
      <w:rFonts w:ascii="Arial" w:hAnsi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80F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0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68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8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80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8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80F"/>
    <w:rPr>
      <w:rFonts w:ascii="Arial" w:hAnsi="Arial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D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Liu07</b:Tag>
    <b:SourceType>JournalArticle</b:SourceType>
    <b:Guid>{B6ADDAAC-1F36-4A83-90F8-204FE6E4AA73}</b:Guid>
    <b:Title>Review of progress in shape-memory polymers</b:Title>
    <b:JournalName>Journal of Materials Chemistry</b:JournalName>
    <b:Year>2007</b:Year>
    <b:Pages>1543-1558</b:Pages>
    <b:Author>
      <b:Author>
        <b:NameList>
          <b:Person>
            <b:Last>Liu</b:Last>
            <b:First>C.</b:First>
          </b:Person>
          <b:Person>
            <b:Last>Qin</b:Last>
            <b:First>H.</b:First>
          </b:Person>
          <b:Person>
            <b:Last>Mather</b:Last>
            <b:First>P.</b:First>
            <b:Middle>T.</b:Middle>
          </b:Person>
        </b:NameList>
      </b:Author>
    </b:Author>
    <b:RefOrder>1</b:RefOrder>
  </b:Source>
  <b:Source>
    <b:Tag>Dyn12</b:Tag>
    <b:SourceType>InternetSite</b:SourceType>
    <b:Guid>{1CB8EFEB-8A62-4996-B562-BA9806A250B2}</b:Guid>
    <b:Author>
      <b:Author>
        <b:Corporate>Dynalloy, Inc</b:Corporate>
      </b:Author>
    </b:Author>
    <b:Title>FLEXINOL® Actuator Wire Technical and Design Data </b:Title>
    <b:InternetSiteTitle>Dynalloy</b:InternetSiteTitle>
    <b:Year>2012</b:Year>
    <b:YearAccessed>2013</b:YearAccessed>
    <b:MonthAccessed>October</b:MonthAccessed>
    <b:DayAccessed>13</b:DayAccessed>
    <b:URL>http://www.dynalloy.com/TechDataWire.php</b:URL>
    <b:RefOrder>2</b:RefOrder>
  </b:Source>
  <b:Source>
    <b:Tag>Die95</b:Tag>
    <b:SourceType>ConferenceProceedings</b:SourceType>
    <b:Guid>{17E4A1D0-E25A-4C5B-A465-00E28DDCB188}</b:Guid>
    <b:Title>Shape Memory Alloys for Power Systems EPRI</b:Title>
    <b:Year>1995</b:Year>
    <b:Author>
      <b:Author>
        <b:NameList>
          <b:Person>
            <b:Last>Stoeckel</b:Last>
            <b:First>Dieter</b:First>
          </b:Person>
        </b:NameList>
      </b:Author>
    </b:Author>
    <b:Pages>1-13</b:Pages>
    <b:ConferenceName>The Shape Memory Effect ‐ Phenomenon, Alloys and Applications</b:ConferenceName>
    <b:City>Fremont, CA</b:City>
    <b:Publisher>Nitinol Devices &amp; Components, Inc</b:Publisher>
    <b:RefOrder>3</b:RefOrder>
  </b:Source>
  <b:Source>
    <b:Tag>Jam10</b:Tag>
    <b:SourceType>JournalArticle</b:SourceType>
    <b:Guid>{9FA7E8E1-5F88-489F-A068-5C15491C859B}</b:Guid>
    <b:Title>A novel low-profile shape memory alloy</b:Title>
    <b:JournalName>SMART MATERIALS AND STRUCTURES</b:JournalName>
    <b:Year>2010</b:Year>
    <b:Pages>1-9</b:Pages>
    <b:Author>
      <b:Author>
        <b:NameList>
          <b:Person>
            <b:Last>Paik</b:Last>
            <b:First>Jamie</b:First>
            <b:Middle>K</b:Middle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7FE474F6-5D08-4231-B5E0-CBF4E98E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Ted-Desktop</cp:lastModifiedBy>
  <cp:revision>12</cp:revision>
  <dcterms:created xsi:type="dcterms:W3CDTF">2013-10-13T23:54:00Z</dcterms:created>
  <dcterms:modified xsi:type="dcterms:W3CDTF">2013-10-14T05:57:00Z</dcterms:modified>
</cp:coreProperties>
</file>