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0DA2" w14:textId="77777777" w:rsidR="00540266" w:rsidRPr="00135DFA" w:rsidRDefault="00A05492" w:rsidP="00540266">
      <w:pPr>
        <w:jc w:val="center"/>
        <w:rPr>
          <w:b/>
          <w:sz w:val="28"/>
          <w:szCs w:val="28"/>
        </w:rPr>
      </w:pPr>
      <w:r w:rsidRPr="00135DFA">
        <w:rPr>
          <w:b/>
          <w:sz w:val="28"/>
          <w:szCs w:val="28"/>
        </w:rPr>
        <w:t xml:space="preserve">Exploring </w:t>
      </w:r>
      <w:r w:rsidR="00540266" w:rsidRPr="00135DFA">
        <w:rPr>
          <w:b/>
          <w:sz w:val="28"/>
          <w:szCs w:val="28"/>
        </w:rPr>
        <w:t>Learning Resources</w:t>
      </w:r>
    </w:p>
    <w:p w14:paraId="258CCC94" w14:textId="77777777" w:rsidR="00C37284" w:rsidRPr="00135DFA" w:rsidRDefault="00A05492" w:rsidP="00540266">
      <w:pPr>
        <w:jc w:val="center"/>
        <w:rPr>
          <w:b/>
          <w:sz w:val="28"/>
          <w:szCs w:val="28"/>
        </w:rPr>
      </w:pPr>
      <w:r w:rsidRPr="00135DFA">
        <w:rPr>
          <w:b/>
          <w:sz w:val="28"/>
          <w:szCs w:val="28"/>
        </w:rPr>
        <w:t>Indigenous Foundations</w:t>
      </w:r>
    </w:p>
    <w:p w14:paraId="2591239B" w14:textId="77777777" w:rsidR="00A05492" w:rsidRDefault="00A05492"/>
    <w:p w14:paraId="4C0FC2FB" w14:textId="0FAB03FA" w:rsidR="00A05492" w:rsidRDefault="00A05492">
      <w:r>
        <w:t>A common barrier to integrating Indigenous content in courses at all le</w:t>
      </w:r>
      <w:r w:rsidR="00841B09">
        <w:t xml:space="preserve">vels is negotiating variation in </w:t>
      </w:r>
      <w:r>
        <w:t xml:space="preserve">levels of prior knowledge, </w:t>
      </w:r>
      <w:r w:rsidR="00841B09">
        <w:t>accuracy of i</w:t>
      </w:r>
      <w:r>
        <w:t>nformation about Indigenous histories and contemporary realities, and anxieties around the use of language and terminology. These are some of the challenges that the website Indigenous Foundations tries to address.</w:t>
      </w:r>
    </w:p>
    <w:p w14:paraId="7A05BD3D" w14:textId="77777777" w:rsidR="00A05492" w:rsidRDefault="00A05492"/>
    <w:p w14:paraId="4939BF80" w14:textId="2EC44F62" w:rsidR="00A05492" w:rsidRPr="00841B09" w:rsidRDefault="00A05492" w:rsidP="00A05492">
      <w:pPr>
        <w:rPr>
          <w:b/>
          <w:sz w:val="32"/>
          <w:szCs w:val="32"/>
        </w:rPr>
      </w:pPr>
      <w:r w:rsidRPr="00841B09">
        <w:rPr>
          <w:b/>
          <w:sz w:val="32"/>
          <w:szCs w:val="32"/>
        </w:rPr>
        <w:t>Individual activity:</w:t>
      </w:r>
      <w:r w:rsidR="008916E1" w:rsidRPr="00841B09">
        <w:rPr>
          <w:b/>
          <w:sz w:val="32"/>
          <w:szCs w:val="32"/>
        </w:rPr>
        <w:t xml:space="preserve"> </w:t>
      </w:r>
    </w:p>
    <w:p w14:paraId="47747288" w14:textId="77777777" w:rsidR="00992324" w:rsidRDefault="00992324" w:rsidP="008916E1">
      <w:pPr>
        <w:rPr>
          <w:color w:val="000000" w:themeColor="text1"/>
          <w:sz w:val="32"/>
          <w:szCs w:val="32"/>
        </w:rPr>
      </w:pPr>
    </w:p>
    <w:p w14:paraId="595AADDC" w14:textId="55A124FB" w:rsidR="008916E1" w:rsidRPr="00841B09" w:rsidRDefault="00841B09" w:rsidP="008916E1">
      <w:pPr>
        <w:rPr>
          <w:color w:val="000000" w:themeColor="text1"/>
          <w:u w:val="single"/>
        </w:rPr>
      </w:pPr>
      <w:r w:rsidRPr="00841B09">
        <w:rPr>
          <w:color w:val="000000" w:themeColor="text1"/>
          <w:u w:val="single"/>
        </w:rPr>
        <w:t xml:space="preserve">READ AND REFLECT: </w:t>
      </w:r>
      <w:r w:rsidRPr="00841B09">
        <w:rPr>
          <w:i/>
          <w:color w:val="000000" w:themeColor="text1"/>
          <w:u w:val="single"/>
        </w:rPr>
        <w:t>(15 mins)</w:t>
      </w:r>
    </w:p>
    <w:p w14:paraId="78A25FC3" w14:textId="77777777" w:rsidR="007579AF" w:rsidRPr="008916E1" w:rsidRDefault="007579AF" w:rsidP="008916E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8916E1">
        <w:rPr>
          <w:color w:val="000000" w:themeColor="text1"/>
        </w:rPr>
        <w:t>Preview the attached worksheet “FNSP 300: Identity and Terminology Worksheet”</w:t>
      </w:r>
    </w:p>
    <w:p w14:paraId="38FCDD58" w14:textId="77777777" w:rsidR="00FA2D94" w:rsidRPr="00FA2D94" w:rsidRDefault="007579AF" w:rsidP="008916E1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8916E1">
        <w:rPr>
          <w:color w:val="000000" w:themeColor="text1"/>
        </w:rPr>
        <w:t xml:space="preserve">Go to </w:t>
      </w:r>
      <w:hyperlink r:id="rId5" w:history="1">
        <w:r w:rsidRPr="003E4D64">
          <w:rPr>
            <w:rStyle w:val="Hyperlink"/>
          </w:rPr>
          <w:t>http://indigenousfoundations.arts.ubc.ca/</w:t>
        </w:r>
      </w:hyperlink>
      <w:r w:rsidRPr="008916E1">
        <w:rPr>
          <w:color w:val="000000" w:themeColor="text1"/>
        </w:rPr>
        <w:t>, click on the “Identity” section</w:t>
      </w:r>
      <w:r w:rsidR="008916E1" w:rsidRPr="008916E1">
        <w:rPr>
          <w:color w:val="000000" w:themeColor="text1"/>
        </w:rPr>
        <w:t xml:space="preserve"> and </w:t>
      </w:r>
      <w:r w:rsidR="008916E1" w:rsidRPr="008916E1">
        <w:rPr>
          <w:b/>
          <w:color w:val="000000" w:themeColor="text1"/>
        </w:rPr>
        <w:t>spend one minute</w:t>
      </w:r>
      <w:r w:rsidR="008916E1" w:rsidRPr="008916E1">
        <w:rPr>
          <w:color w:val="000000" w:themeColor="text1"/>
        </w:rPr>
        <w:t xml:space="preserve"> previewing</w:t>
      </w:r>
      <w:r w:rsidRPr="008916E1">
        <w:rPr>
          <w:color w:val="000000" w:themeColor="text1"/>
        </w:rPr>
        <w:t xml:space="preserve"> the three articles: </w:t>
      </w:r>
      <w:r w:rsidRPr="00FA2D94">
        <w:rPr>
          <w:i/>
          <w:color w:val="000000" w:themeColor="text1"/>
        </w:rPr>
        <w:t>“Terminology,” “A discussion on Aboriginal identity,” and “A discussion on identity and terminology</w:t>
      </w:r>
      <w:r w:rsidR="008916E1" w:rsidRPr="00FA2D94">
        <w:rPr>
          <w:i/>
          <w:color w:val="000000" w:themeColor="text1"/>
        </w:rPr>
        <w:t>.</w:t>
      </w:r>
      <w:r w:rsidRPr="00FA2D94">
        <w:rPr>
          <w:i/>
          <w:color w:val="000000" w:themeColor="text1"/>
        </w:rPr>
        <w:t>”</w:t>
      </w:r>
      <w:r w:rsidR="008916E1" w:rsidRPr="008916E1">
        <w:rPr>
          <w:color w:val="000000" w:themeColor="text1"/>
        </w:rPr>
        <w:t xml:space="preserve"> </w:t>
      </w:r>
    </w:p>
    <w:p w14:paraId="35724FA4" w14:textId="77777777" w:rsidR="00540266" w:rsidRPr="008916E1" w:rsidRDefault="00540266" w:rsidP="00540266">
      <w:pPr>
        <w:pStyle w:val="ListParagrap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CABEB" wp14:editId="5D8C2A4A">
                <wp:simplePos x="0" y="0"/>
                <wp:positionH relativeFrom="column">
                  <wp:posOffset>1081239</wp:posOffset>
                </wp:positionH>
                <wp:positionV relativeFrom="paragraph">
                  <wp:posOffset>1630790</wp:posOffset>
                </wp:positionV>
                <wp:extent cx="344639" cy="45719"/>
                <wp:effectExtent l="50800" t="101600" r="0" b="1073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639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1CE5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4" o:spid="_x0000_s1026" type="#_x0000_t32" style="position:absolute;margin-left:85.15pt;margin-top:128.4pt;width:27.1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540266">
        <w:rPr>
          <w:b/>
          <w:noProof/>
          <w:color w:val="000000" w:themeColor="text1"/>
        </w:rPr>
        <w:drawing>
          <wp:inline distT="0" distB="0" distL="0" distR="0" wp14:anchorId="54F34DDA" wp14:editId="14FE88FA">
            <wp:extent cx="4737735" cy="2782912"/>
            <wp:effectExtent l="0" t="0" r="1206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genous Foundat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82" cy="27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445B5" w14:textId="6E3A822F" w:rsidR="00841B09" w:rsidRPr="00540266" w:rsidRDefault="00841B09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40266">
        <w:rPr>
          <w:color w:val="000000" w:themeColor="text1"/>
        </w:rPr>
        <w:t xml:space="preserve">Divide up the </w:t>
      </w:r>
      <w:r>
        <w:rPr>
          <w:color w:val="000000" w:themeColor="text1"/>
        </w:rPr>
        <w:t xml:space="preserve">“Identity” </w:t>
      </w:r>
      <w:r w:rsidRPr="00540266">
        <w:rPr>
          <w:color w:val="000000" w:themeColor="text1"/>
        </w:rPr>
        <w:t>articles among the group members</w:t>
      </w:r>
      <w:r>
        <w:rPr>
          <w:color w:val="000000" w:themeColor="text1"/>
        </w:rPr>
        <w:t xml:space="preserve"> so you are each reading a different one</w:t>
      </w:r>
      <w:r w:rsidRPr="00540266">
        <w:rPr>
          <w:color w:val="000000" w:themeColor="text1"/>
        </w:rPr>
        <w:t>. If you finish before your other group members, look at the worksheet and begin to fill it out.</w:t>
      </w:r>
    </w:p>
    <w:p w14:paraId="7D662270" w14:textId="77777777" w:rsidR="008916E1" w:rsidRDefault="008916E1" w:rsidP="008916E1"/>
    <w:p w14:paraId="5244170D" w14:textId="22149E35" w:rsidR="008916E1" w:rsidRPr="00841B09" w:rsidRDefault="008916E1" w:rsidP="008916E1">
      <w:pPr>
        <w:rPr>
          <w:u w:val="single"/>
        </w:rPr>
      </w:pPr>
      <w:r w:rsidRPr="00841B09">
        <w:rPr>
          <w:u w:val="single"/>
        </w:rPr>
        <w:t>WATCH</w:t>
      </w:r>
      <w:r w:rsidR="00841B09" w:rsidRPr="00841B09">
        <w:rPr>
          <w:u w:val="single"/>
        </w:rPr>
        <w:t xml:space="preserve"> (5 mins)</w:t>
      </w:r>
    </w:p>
    <w:p w14:paraId="19352B03" w14:textId="77777777" w:rsidR="00A05492" w:rsidRPr="008916E1" w:rsidRDefault="007579AF" w:rsidP="008916E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t>W</w:t>
      </w:r>
      <w:r w:rsidR="00A05492">
        <w:t xml:space="preserve">atch “Ignorance or what?” – a short film by UBC alumna </w:t>
      </w:r>
      <w:proofErr w:type="spellStart"/>
      <w:r w:rsidR="00A05492" w:rsidRPr="008916E1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>Maryel</w:t>
      </w:r>
      <w:proofErr w:type="spellEnd"/>
      <w:r w:rsidR="00A05492" w:rsidRPr="008916E1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 xml:space="preserve"> Sparks-Cardinal</w:t>
      </w:r>
      <w:r w:rsidR="008916E1" w:rsidRPr="008916E1">
        <w:rPr>
          <w:color w:val="000000" w:themeColor="text1"/>
        </w:rPr>
        <w:t xml:space="preserve"> </w:t>
      </w:r>
      <w:r w:rsidR="00A05492" w:rsidRPr="008916E1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>(</w:t>
      </w:r>
      <w:hyperlink r:id="rId7" w:history="1">
        <w:r w:rsidR="00A05492" w:rsidRPr="008916E1">
          <w:rPr>
            <w:rStyle w:val="Hyperlink"/>
            <w:rFonts w:ascii="Trebuchet MS" w:eastAsia="Times New Roman" w:hAnsi="Trebuchet MS" w:cs="Times New Roman"/>
            <w:sz w:val="21"/>
            <w:szCs w:val="21"/>
            <w:shd w:val="clear" w:color="auto" w:fill="FFFFFF"/>
          </w:rPr>
          <w:t>http://aboriginal.ubc.ca/a-little-knowledge/)</w:t>
        </w:r>
      </w:hyperlink>
      <w:r w:rsidR="00A05492" w:rsidRPr="008916E1">
        <w:rPr>
          <w:rFonts w:ascii="Trebuchet MS" w:eastAsia="Times New Roman" w:hAnsi="Trebuchet MS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7BFCB0A" w14:textId="77777777" w:rsidR="00992324" w:rsidRDefault="00992324" w:rsidP="007579AF">
      <w:pP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</w:p>
    <w:p w14:paraId="03DCF3E9" w14:textId="77777777" w:rsidR="00992324" w:rsidRDefault="00992324" w:rsidP="007579AF">
      <w:pP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</w:p>
    <w:p w14:paraId="4E85EABD" w14:textId="77777777" w:rsidR="00992324" w:rsidRPr="00992324" w:rsidRDefault="00992324" w:rsidP="00992324">
      <w:pPr>
        <w:jc w:val="right"/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</w:pPr>
      <w:r w:rsidRPr="00992324"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  <w:t>Turn over for Group Activity</w:t>
      </w:r>
      <w:r>
        <w:rPr>
          <w:rFonts w:ascii="Trebuchet MS" w:eastAsia="Times New Roman" w:hAnsi="Trebuchet MS" w:cs="Times New Roman"/>
          <w:i/>
          <w:color w:val="000000" w:themeColor="text1"/>
          <w:sz w:val="21"/>
          <w:szCs w:val="21"/>
          <w:shd w:val="clear" w:color="auto" w:fill="FFFFFF"/>
        </w:rPr>
        <w:t xml:space="preserve"> &gt;&gt;</w:t>
      </w:r>
    </w:p>
    <w:p w14:paraId="028B3E3D" w14:textId="0C0615BF" w:rsidR="007579AF" w:rsidRPr="00841B09" w:rsidRDefault="00992324" w:rsidP="007579AF">
      <w:pPr>
        <w:rPr>
          <w:rFonts w:ascii="Trebuchet MS" w:eastAsia="Times New Roman" w:hAnsi="Trebuchet MS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 w:themeColor="text1"/>
          <w:sz w:val="21"/>
          <w:szCs w:val="21"/>
          <w:shd w:val="clear" w:color="auto" w:fill="FFFFFF"/>
        </w:rPr>
        <w:br w:type="page"/>
      </w:r>
      <w:r w:rsidR="007579AF" w:rsidRPr="00841B09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Group activity:</w:t>
      </w:r>
      <w:r w:rsidRPr="00841B09">
        <w:rPr>
          <w:rFonts w:ascii="Trebuchet MS" w:eastAsia="Times New Roman" w:hAnsi="Trebuchet MS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70DE8FC" w14:textId="77777777" w:rsidR="00540266" w:rsidRDefault="00540266" w:rsidP="008916E1">
      <w:pPr>
        <w:rPr>
          <w:color w:val="000000" w:themeColor="text1"/>
        </w:rPr>
      </w:pPr>
    </w:p>
    <w:p w14:paraId="165E6F8B" w14:textId="77777777" w:rsidR="00841B09" w:rsidRPr="00841B09" w:rsidRDefault="00540266" w:rsidP="00841B09">
      <w:pPr>
        <w:rPr>
          <w:i/>
          <w:color w:val="000000" w:themeColor="text1"/>
        </w:rPr>
      </w:pPr>
      <w:r w:rsidRPr="00841B09">
        <w:rPr>
          <w:color w:val="000000" w:themeColor="text1"/>
          <w:u w:val="single"/>
        </w:rPr>
        <w:t>DISCUSS AND EXPLORE</w:t>
      </w:r>
      <w:r w:rsidRPr="00841B09">
        <w:rPr>
          <w:color w:val="000000" w:themeColor="text1"/>
        </w:rPr>
        <w:t xml:space="preserve"> </w:t>
      </w:r>
    </w:p>
    <w:p w14:paraId="02B8157A" w14:textId="77777777" w:rsidR="006D36F1" w:rsidRDefault="006D36F1" w:rsidP="006D36F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Discuss the resources</w:t>
      </w:r>
      <w:r w:rsidRPr="00540266">
        <w:rPr>
          <w:color w:val="000000" w:themeColor="text1"/>
        </w:rPr>
        <w:t xml:space="preserve">, identifying some of your own experiences and challenges with background knowledge when teaching and/or learning Indigenous content. </w:t>
      </w:r>
    </w:p>
    <w:p w14:paraId="7360346D" w14:textId="3CE884A1" w:rsidR="008916E1" w:rsidRPr="00841B09" w:rsidRDefault="00841B09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How might you adapt the</w:t>
      </w:r>
      <w:r w:rsidR="00540266" w:rsidRPr="00841B09">
        <w:rPr>
          <w:color w:val="000000" w:themeColor="text1"/>
        </w:rPr>
        <w:t xml:space="preserve"> materials</w:t>
      </w:r>
      <w:r w:rsidR="008916E1" w:rsidRPr="00841B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from this activity </w:t>
      </w:r>
      <w:r w:rsidR="008916E1" w:rsidRPr="00841B09">
        <w:rPr>
          <w:color w:val="000000" w:themeColor="text1"/>
        </w:rPr>
        <w:t>for use in your own course</w:t>
      </w:r>
      <w:r w:rsidR="007D42B5" w:rsidRPr="00841B09">
        <w:rPr>
          <w:color w:val="000000" w:themeColor="text1"/>
        </w:rPr>
        <w:t>, discipline,</w:t>
      </w:r>
      <w:r w:rsidR="008916E1" w:rsidRPr="00841B09">
        <w:rPr>
          <w:color w:val="000000" w:themeColor="text1"/>
        </w:rPr>
        <w:t xml:space="preserve"> or project?</w:t>
      </w:r>
      <w:r w:rsidR="00540266" w:rsidRPr="00841B09">
        <w:rPr>
          <w:color w:val="000000" w:themeColor="text1"/>
        </w:rPr>
        <w:t xml:space="preserve"> How might these materials be useful to others designing courses or learning resources?</w:t>
      </w:r>
    </w:p>
    <w:p w14:paraId="06863F88" w14:textId="6C5635B1" w:rsidR="00540266" w:rsidRPr="00841B09" w:rsidRDefault="00540266" w:rsidP="00841B0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If time permits, explore the navigation and other articles on Indigenous Foundations with your group. </w:t>
      </w:r>
      <w:r w:rsidRPr="00841B09">
        <w:rPr>
          <w:color w:val="000000" w:themeColor="text1"/>
        </w:rPr>
        <w:t>What topics might you find useful for exploring in your own courses?</w:t>
      </w:r>
    </w:p>
    <w:p w14:paraId="673FF542" w14:textId="77777777" w:rsidR="00A05492" w:rsidRDefault="00A05492"/>
    <w:p w14:paraId="6B436E39" w14:textId="77777777" w:rsidR="00841B09" w:rsidRDefault="00841B09"/>
    <w:p w14:paraId="14E86663" w14:textId="77777777" w:rsidR="00841B09" w:rsidRDefault="00841B09"/>
    <w:p w14:paraId="1BB0CF4D" w14:textId="77777777" w:rsidR="00A05492" w:rsidRPr="00992324" w:rsidRDefault="00992324" w:rsidP="00841B09">
      <w:pPr>
        <w:pBdr>
          <w:top w:val="single" w:sz="4" w:space="1" w:color="auto"/>
        </w:pBdr>
        <w:rPr>
          <w:sz w:val="32"/>
          <w:szCs w:val="32"/>
          <w:u w:val="single"/>
        </w:rPr>
      </w:pPr>
      <w:r w:rsidRPr="00992324">
        <w:rPr>
          <w:sz w:val="32"/>
          <w:szCs w:val="32"/>
          <w:u w:val="single"/>
        </w:rPr>
        <w:t>RECORD</w:t>
      </w:r>
    </w:p>
    <w:p w14:paraId="690D8D25" w14:textId="77777777" w:rsidR="00992324" w:rsidRPr="00992324" w:rsidRDefault="00992324">
      <w:pPr>
        <w:rPr>
          <w:i/>
        </w:rPr>
      </w:pPr>
      <w:r w:rsidRPr="00992324">
        <w:rPr>
          <w:i/>
        </w:rPr>
        <w:t>Notes from your discussion to report back</w:t>
      </w:r>
    </w:p>
    <w:sectPr w:rsidR="00992324" w:rsidRPr="00992324" w:rsidSect="007C58F7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927"/>
    <w:multiLevelType w:val="hybridMultilevel"/>
    <w:tmpl w:val="208CFF02"/>
    <w:lvl w:ilvl="0" w:tplc="797C1AC4">
      <w:start w:val="1"/>
      <w:numFmt w:val="decimal"/>
      <w:lvlText w:val="(%1)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EF2"/>
    <w:multiLevelType w:val="hybridMultilevel"/>
    <w:tmpl w:val="5404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31C3F"/>
    <w:multiLevelType w:val="hybridMultilevel"/>
    <w:tmpl w:val="183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7636"/>
    <w:multiLevelType w:val="hybridMultilevel"/>
    <w:tmpl w:val="F640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74B26"/>
    <w:multiLevelType w:val="hybridMultilevel"/>
    <w:tmpl w:val="464E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22B6"/>
    <w:multiLevelType w:val="hybridMultilevel"/>
    <w:tmpl w:val="EF96E57A"/>
    <w:lvl w:ilvl="0" w:tplc="206638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07F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2"/>
    <w:rsid w:val="00135DFA"/>
    <w:rsid w:val="002F4AA4"/>
    <w:rsid w:val="00402D47"/>
    <w:rsid w:val="00540266"/>
    <w:rsid w:val="006D36F1"/>
    <w:rsid w:val="007579AF"/>
    <w:rsid w:val="007C58F7"/>
    <w:rsid w:val="007D42B5"/>
    <w:rsid w:val="00841B09"/>
    <w:rsid w:val="0088680D"/>
    <w:rsid w:val="008916E1"/>
    <w:rsid w:val="00992324"/>
    <w:rsid w:val="00A05492"/>
    <w:rsid w:val="00B941D5"/>
    <w:rsid w:val="00B943C2"/>
    <w:rsid w:val="00CF590C"/>
    <w:rsid w:val="00F10DE2"/>
    <w:rsid w:val="00FA2D94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3D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4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5492"/>
  </w:style>
  <w:style w:type="character" w:styleId="Hyperlink">
    <w:name w:val="Hyperlink"/>
    <w:basedOn w:val="DefaultParagraphFont"/>
    <w:uiPriority w:val="99"/>
    <w:unhideWhenUsed/>
    <w:rsid w:val="00A0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digenousfoundations.arts.ubc.ca/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aboriginal.ubc.ca/a-little-knowledge/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Lew</dc:creator>
  <cp:keywords/>
  <dc:description/>
  <cp:lastModifiedBy>Janey Lew</cp:lastModifiedBy>
  <cp:revision>3</cp:revision>
  <dcterms:created xsi:type="dcterms:W3CDTF">2017-05-25T13:12:00Z</dcterms:created>
  <dcterms:modified xsi:type="dcterms:W3CDTF">2017-05-25T15:43:00Z</dcterms:modified>
</cp:coreProperties>
</file>