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A5" w:rsidRPr="00DD4D1E" w:rsidRDefault="00C82FA5" w:rsidP="00C82FA5">
      <w:pPr>
        <w:jc w:val="center"/>
        <w:rPr>
          <w:rFonts w:ascii="Verdana" w:hAnsi="Verdana"/>
          <w:b/>
          <w:sz w:val="24"/>
          <w:szCs w:val="24"/>
          <w:u w:val="single"/>
        </w:rPr>
      </w:pPr>
      <w:r w:rsidRPr="00DD4D1E">
        <w:rPr>
          <w:rFonts w:ascii="Verdana" w:hAnsi="Verdana"/>
          <w:b/>
          <w:sz w:val="24"/>
          <w:szCs w:val="24"/>
          <w:u w:val="single"/>
        </w:rPr>
        <w:t>Urinary Tract Infection</w:t>
      </w:r>
    </w:p>
    <w:p w:rsidR="00C82FA5" w:rsidRPr="00AC2700" w:rsidRDefault="00C82FA5" w:rsidP="00C82FA5">
      <w:pPr>
        <w:pStyle w:val="Style1"/>
        <w:numPr>
          <w:ilvl w:val="0"/>
          <w:numId w:val="2"/>
        </w:numPr>
        <w:spacing w:before="240" w:after="60"/>
        <w:ind w:right="132"/>
        <w:rPr>
          <w:rFonts w:ascii="Verdana" w:hAnsi="Verdana"/>
          <w:color w:val="000000"/>
          <w:sz w:val="22"/>
          <w:szCs w:val="22"/>
        </w:rPr>
      </w:pPr>
      <w:r w:rsidRPr="00AC2700">
        <w:rPr>
          <w:rFonts w:ascii="Verdana" w:hAnsi="Verdana"/>
          <w:color w:val="000000"/>
          <w:sz w:val="22"/>
          <w:szCs w:val="22"/>
        </w:rPr>
        <w:t>Take an appropriate history and do the required testing to exclude serious complications of urinary tract infection (UTI) (e.g., sepsis, pyelonephritis, impacted infected stones).</w:t>
      </w:r>
    </w:p>
    <w:p w:rsidR="00E105DF" w:rsidRPr="00AC2700" w:rsidRDefault="00E105DF" w:rsidP="00524BA1">
      <w:pPr>
        <w:rPr>
          <w:rFonts w:ascii="Verdana" w:hAnsi="Verdana"/>
          <w:u w:val="single"/>
        </w:rPr>
      </w:pPr>
      <w:r w:rsidRPr="00AC2700">
        <w:rPr>
          <w:rFonts w:ascii="Verdana" w:hAnsi="Verdana"/>
          <w:u w:val="single"/>
        </w:rPr>
        <w:t>History</w:t>
      </w:r>
    </w:p>
    <w:p w:rsidR="00524BA1" w:rsidRPr="00AC2700" w:rsidRDefault="00E105DF" w:rsidP="00524BA1">
      <w:pPr>
        <w:rPr>
          <w:rFonts w:ascii="Verdana" w:hAnsi="Verdana"/>
        </w:rPr>
      </w:pPr>
      <w:r w:rsidRPr="00AC2700">
        <w:rPr>
          <w:rFonts w:ascii="Verdana" w:hAnsi="Verdana"/>
        </w:rPr>
        <w:t xml:space="preserve">Cystitis: </w:t>
      </w:r>
      <w:r w:rsidR="00C14F10" w:rsidRPr="00AC2700">
        <w:rPr>
          <w:rFonts w:ascii="Verdana" w:hAnsi="Verdana"/>
        </w:rPr>
        <w:t xml:space="preserve">Dysuria, </w:t>
      </w:r>
      <w:r w:rsidRPr="00AC2700">
        <w:rPr>
          <w:rFonts w:ascii="Verdana" w:hAnsi="Verdana"/>
        </w:rPr>
        <w:t xml:space="preserve">frequency, </w:t>
      </w:r>
      <w:r w:rsidR="00C14F10" w:rsidRPr="00AC2700">
        <w:rPr>
          <w:rFonts w:ascii="Verdana" w:hAnsi="Verdana"/>
        </w:rPr>
        <w:t xml:space="preserve">urgency, </w:t>
      </w:r>
      <w:r w:rsidRPr="00AC2700">
        <w:rPr>
          <w:rFonts w:ascii="Verdana" w:hAnsi="Verdana"/>
        </w:rPr>
        <w:t>hematuria and possi</w:t>
      </w:r>
      <w:r w:rsidR="00657D4F" w:rsidRPr="00AC2700">
        <w:rPr>
          <w:rFonts w:ascii="Verdana" w:hAnsi="Verdana"/>
        </w:rPr>
        <w:t xml:space="preserve">bly the presence of suprapubic </w:t>
      </w:r>
      <w:r w:rsidRPr="00AC2700">
        <w:rPr>
          <w:rFonts w:ascii="Verdana" w:hAnsi="Verdana"/>
        </w:rPr>
        <w:t xml:space="preserve">pain. </w:t>
      </w:r>
      <w:r w:rsidR="004C2F21">
        <w:rPr>
          <w:rFonts w:ascii="Verdana" w:hAnsi="Verdana"/>
        </w:rPr>
        <w:t xml:space="preserve">History </w:t>
      </w:r>
      <w:r w:rsidR="00F94DEB" w:rsidRPr="00AC2700">
        <w:rPr>
          <w:rFonts w:ascii="Verdana" w:hAnsi="Verdana"/>
        </w:rPr>
        <w:t>of prior UTI</w:t>
      </w:r>
      <w:r w:rsidR="00B46BFD" w:rsidRPr="00AC2700">
        <w:rPr>
          <w:rFonts w:ascii="Verdana" w:hAnsi="Verdana"/>
        </w:rPr>
        <w:t xml:space="preserve"> and</w:t>
      </w:r>
      <w:r w:rsidR="004C2F21">
        <w:rPr>
          <w:rFonts w:ascii="Verdana" w:hAnsi="Verdana"/>
        </w:rPr>
        <w:t>/or</w:t>
      </w:r>
      <w:r w:rsidR="00B46BFD" w:rsidRPr="00AC2700">
        <w:rPr>
          <w:rFonts w:ascii="Verdana" w:hAnsi="Verdana"/>
        </w:rPr>
        <w:t xml:space="preserve"> renal stones. </w:t>
      </w:r>
    </w:p>
    <w:p w:rsidR="00F94DEB" w:rsidRPr="00AC2700" w:rsidRDefault="00E105DF" w:rsidP="00524BA1">
      <w:pPr>
        <w:rPr>
          <w:rFonts w:ascii="Verdana" w:hAnsi="Verdana"/>
        </w:rPr>
      </w:pPr>
      <w:r w:rsidRPr="00AC2700">
        <w:rPr>
          <w:rFonts w:ascii="Verdana" w:hAnsi="Verdana"/>
        </w:rPr>
        <w:t>Pyelonephritis: Symptoms of cystitis may be present and and is generally believed to be associated with fever, flank pain and systemic symptoms such as nausea and vomiting</w:t>
      </w:r>
      <w:r w:rsidR="00770E54" w:rsidRPr="00AC2700">
        <w:rPr>
          <w:rFonts w:ascii="Verdana" w:hAnsi="Verdana"/>
        </w:rPr>
        <w:t xml:space="preserve"> and CVA tenderness</w:t>
      </w:r>
      <w:r w:rsidRPr="00AC2700">
        <w:rPr>
          <w:rFonts w:ascii="Verdana" w:hAnsi="Verdana"/>
        </w:rPr>
        <w:t xml:space="preserve">. </w:t>
      </w:r>
      <w:r w:rsidR="00B46BFD" w:rsidRPr="00AC2700">
        <w:rPr>
          <w:rFonts w:ascii="Verdana" w:hAnsi="Verdana"/>
        </w:rPr>
        <w:t>Hx of prior UTI and</w:t>
      </w:r>
      <w:r w:rsidR="004C2F21">
        <w:rPr>
          <w:rFonts w:ascii="Verdana" w:hAnsi="Verdana"/>
        </w:rPr>
        <w:t>/or</w:t>
      </w:r>
      <w:r w:rsidR="00B46BFD" w:rsidRPr="00AC2700">
        <w:rPr>
          <w:rFonts w:ascii="Verdana" w:hAnsi="Verdana"/>
        </w:rPr>
        <w:t xml:space="preserve"> renal stones. </w:t>
      </w:r>
    </w:p>
    <w:p w:rsidR="00901E71" w:rsidRPr="00AC2700" w:rsidRDefault="00120DCD" w:rsidP="00524BA1">
      <w:pPr>
        <w:rPr>
          <w:rFonts w:ascii="Verdana" w:hAnsi="Verdana"/>
        </w:rPr>
      </w:pPr>
      <w:r>
        <w:rPr>
          <w:rFonts w:ascii="Verdana" w:hAnsi="Verdana"/>
        </w:rPr>
        <w:t>Impacted infected s</w:t>
      </w:r>
      <w:r w:rsidR="00901E71" w:rsidRPr="00AC2700">
        <w:rPr>
          <w:rFonts w:ascii="Verdana" w:hAnsi="Verdana"/>
        </w:rPr>
        <w:t xml:space="preserve">tones: </w:t>
      </w:r>
      <w:r w:rsidR="00394782" w:rsidRPr="00AC2700">
        <w:rPr>
          <w:rFonts w:ascii="Verdana" w:hAnsi="Verdana"/>
        </w:rPr>
        <w:t xml:space="preserve">Renal colic, hematuria </w:t>
      </w:r>
      <w:r w:rsidR="003D7202" w:rsidRPr="00AC2700">
        <w:rPr>
          <w:rFonts w:ascii="Verdana" w:hAnsi="Verdana"/>
        </w:rPr>
        <w:t xml:space="preserve">with fever and systemic signs. </w:t>
      </w:r>
    </w:p>
    <w:p w:rsidR="00172D70" w:rsidRPr="00AC2700" w:rsidRDefault="00657D4F" w:rsidP="00524BA1">
      <w:pPr>
        <w:rPr>
          <w:rFonts w:ascii="Verdana" w:hAnsi="Verdana"/>
          <w:u w:val="single"/>
        </w:rPr>
      </w:pPr>
      <w:r w:rsidRPr="00AC2700">
        <w:rPr>
          <w:rFonts w:ascii="Verdana" w:hAnsi="Verdana"/>
          <w:u w:val="single"/>
        </w:rPr>
        <w:t>Testing</w:t>
      </w:r>
    </w:p>
    <w:p w:rsidR="00657D4F" w:rsidRPr="00AC2700" w:rsidRDefault="00374791" w:rsidP="00A52824">
      <w:pPr>
        <w:pStyle w:val="ListParagraph"/>
        <w:numPr>
          <w:ilvl w:val="0"/>
          <w:numId w:val="3"/>
        </w:numPr>
        <w:spacing w:after="0" w:line="240" w:lineRule="auto"/>
        <w:rPr>
          <w:rFonts w:ascii="Verdana" w:hAnsi="Verdana"/>
        </w:rPr>
      </w:pPr>
      <w:r w:rsidRPr="00AC2700">
        <w:rPr>
          <w:rFonts w:ascii="Verdana" w:hAnsi="Verdana"/>
        </w:rPr>
        <w:t>Urinalysis: Midstream sample. Positive dipstick nitrite or positive leukocyte is sen</w:t>
      </w:r>
      <w:r w:rsidR="001B23F4" w:rsidRPr="00AC2700">
        <w:rPr>
          <w:rFonts w:ascii="Verdana" w:hAnsi="Verdana"/>
        </w:rPr>
        <w:t>sitive (75%) and specific (82%).</w:t>
      </w:r>
    </w:p>
    <w:p w:rsidR="00374791" w:rsidRPr="00AC2700" w:rsidRDefault="00374791" w:rsidP="00A52824">
      <w:pPr>
        <w:pStyle w:val="ListParagraph"/>
        <w:numPr>
          <w:ilvl w:val="0"/>
          <w:numId w:val="3"/>
        </w:numPr>
        <w:spacing w:after="0" w:line="240" w:lineRule="auto"/>
        <w:rPr>
          <w:rFonts w:ascii="Verdana" w:hAnsi="Verdana"/>
        </w:rPr>
      </w:pPr>
      <w:r w:rsidRPr="00AC2700">
        <w:rPr>
          <w:rFonts w:ascii="Verdana" w:hAnsi="Verdana"/>
        </w:rPr>
        <w:t xml:space="preserve">Urine C&amp;S: </w:t>
      </w:r>
      <w:r w:rsidR="00BB193A" w:rsidRPr="00AC2700">
        <w:rPr>
          <w:rFonts w:ascii="Verdana" w:hAnsi="Verdana"/>
        </w:rPr>
        <w:t>Positive will be colony count of more than 10</w:t>
      </w:r>
      <w:r w:rsidR="00BB193A" w:rsidRPr="00AC2700">
        <w:rPr>
          <w:rFonts w:ascii="Verdana" w:hAnsi="Verdana"/>
          <w:vertAlign w:val="superscript"/>
        </w:rPr>
        <w:t>5</w:t>
      </w:r>
      <w:r w:rsidR="00BB193A" w:rsidRPr="00AC2700">
        <w:rPr>
          <w:rFonts w:ascii="Verdana" w:hAnsi="Verdana"/>
        </w:rPr>
        <w:t xml:space="preserve"> organisms per milliliter. This provides high specificity but poor sensitivity. </w:t>
      </w:r>
      <w:r w:rsidR="00AC7A5E" w:rsidRPr="00AC2700">
        <w:rPr>
          <w:rFonts w:ascii="Verdana" w:hAnsi="Verdana"/>
        </w:rPr>
        <w:t xml:space="preserve"> However, colony counts of more than 10</w:t>
      </w:r>
      <w:r w:rsidR="00AC7A5E" w:rsidRPr="00AC2700">
        <w:rPr>
          <w:rFonts w:ascii="Verdana" w:hAnsi="Verdana"/>
          <w:vertAlign w:val="superscript"/>
        </w:rPr>
        <w:t>2</w:t>
      </w:r>
      <w:r w:rsidR="00AC7A5E" w:rsidRPr="00AC2700">
        <w:rPr>
          <w:rFonts w:ascii="Verdana" w:hAnsi="Verdana"/>
        </w:rPr>
        <w:t xml:space="preserve"> obtained on a clean voided specimen from acutely dysuric women are also diagnos</w:t>
      </w:r>
      <w:r w:rsidR="004132C3" w:rsidRPr="00AC2700">
        <w:rPr>
          <w:rFonts w:ascii="Verdana" w:hAnsi="Verdana"/>
        </w:rPr>
        <w:t>t</w:t>
      </w:r>
      <w:r w:rsidR="00AC7A5E" w:rsidRPr="00AC2700">
        <w:rPr>
          <w:rFonts w:ascii="Verdana" w:hAnsi="Verdana"/>
        </w:rPr>
        <w:t>ic of true infection.</w:t>
      </w:r>
      <w:r w:rsidR="004132C3" w:rsidRPr="00AC2700">
        <w:rPr>
          <w:rFonts w:ascii="Verdana" w:hAnsi="Verdana"/>
        </w:rPr>
        <w:t xml:space="preserve"> These women may also have pyuria on urinalysis (more than 2-5 WBCs per high-power field). </w:t>
      </w:r>
    </w:p>
    <w:p w:rsidR="00A908B9" w:rsidRPr="00AC2700" w:rsidRDefault="00475DDA" w:rsidP="00374791">
      <w:pPr>
        <w:pStyle w:val="ListParagraph"/>
        <w:numPr>
          <w:ilvl w:val="0"/>
          <w:numId w:val="3"/>
        </w:numPr>
        <w:spacing w:after="0" w:line="240" w:lineRule="auto"/>
        <w:rPr>
          <w:rFonts w:ascii="Verdana" w:hAnsi="Verdana"/>
        </w:rPr>
      </w:pPr>
      <w:r w:rsidRPr="00AC2700">
        <w:rPr>
          <w:rFonts w:ascii="Verdana" w:hAnsi="Verdana"/>
        </w:rPr>
        <w:t xml:space="preserve">CBC, Lytes, Cr, BUN, Blood cultures </w:t>
      </w:r>
      <w:r w:rsidR="00374791" w:rsidRPr="00AC2700">
        <w:rPr>
          <w:rFonts w:ascii="Verdana" w:hAnsi="Verdana"/>
        </w:rPr>
        <w:sym w:font="Wingdings" w:char="F0E0"/>
      </w:r>
      <w:r w:rsidR="00374791" w:rsidRPr="00AC2700">
        <w:rPr>
          <w:rFonts w:ascii="Verdana" w:hAnsi="Verdana"/>
        </w:rPr>
        <w:t xml:space="preserve"> if there is fever and other systemic signs. </w:t>
      </w:r>
    </w:p>
    <w:p w:rsidR="005B5C77" w:rsidRPr="00AC2700" w:rsidRDefault="005B5C77" w:rsidP="00374791">
      <w:pPr>
        <w:pStyle w:val="ListParagraph"/>
        <w:numPr>
          <w:ilvl w:val="0"/>
          <w:numId w:val="3"/>
        </w:numPr>
        <w:spacing w:after="0" w:line="240" w:lineRule="auto"/>
        <w:rPr>
          <w:rFonts w:ascii="Verdana" w:hAnsi="Verdana"/>
        </w:rPr>
      </w:pPr>
      <w:r w:rsidRPr="00AC2700">
        <w:rPr>
          <w:rFonts w:ascii="Verdana" w:hAnsi="Verdana"/>
        </w:rPr>
        <w:t xml:space="preserve">If suspecting a renal stone then imagining studies will be necessary. </w:t>
      </w:r>
    </w:p>
    <w:p w:rsidR="005B5C77" w:rsidRPr="00AC2700" w:rsidRDefault="005B5C77" w:rsidP="005B5C77">
      <w:pPr>
        <w:pStyle w:val="ListParagraph"/>
        <w:numPr>
          <w:ilvl w:val="1"/>
          <w:numId w:val="3"/>
        </w:numPr>
        <w:spacing w:after="0" w:line="240" w:lineRule="auto"/>
        <w:rPr>
          <w:rFonts w:ascii="Verdana" w:hAnsi="Verdana"/>
        </w:rPr>
      </w:pPr>
      <w:r w:rsidRPr="00AC2700">
        <w:rPr>
          <w:rFonts w:ascii="Verdana" w:hAnsi="Verdana"/>
        </w:rPr>
        <w:t xml:space="preserve">Ultrasound: </w:t>
      </w:r>
      <w:r w:rsidR="00F6652A" w:rsidRPr="00AC2700">
        <w:rPr>
          <w:rFonts w:ascii="Verdana" w:hAnsi="Verdana"/>
        </w:rPr>
        <w:t xml:space="preserve">sensitive for the diagnosis of urinary tract obstruction and can detect radiolucent stones missed on KUB; however, </w:t>
      </w:r>
      <w:r w:rsidR="00770E54" w:rsidRPr="00AC2700">
        <w:rPr>
          <w:rFonts w:ascii="Verdana" w:hAnsi="Verdana"/>
        </w:rPr>
        <w:t xml:space="preserve">it </w:t>
      </w:r>
      <w:r w:rsidR="00F6652A" w:rsidRPr="00AC2700">
        <w:rPr>
          <w:rFonts w:ascii="Verdana" w:hAnsi="Verdana"/>
        </w:rPr>
        <w:t>may miss small stones and ureteral stones</w:t>
      </w:r>
    </w:p>
    <w:p w:rsidR="00770E54" w:rsidRPr="00AC2700" w:rsidRDefault="00770E54" w:rsidP="00770E54">
      <w:pPr>
        <w:pStyle w:val="ListParagraph"/>
        <w:numPr>
          <w:ilvl w:val="1"/>
          <w:numId w:val="3"/>
        </w:numPr>
        <w:spacing w:after="0" w:line="240" w:lineRule="auto"/>
        <w:rPr>
          <w:rFonts w:ascii="Verdana" w:hAnsi="Verdana"/>
        </w:rPr>
      </w:pPr>
      <w:r w:rsidRPr="00AC2700">
        <w:rPr>
          <w:rFonts w:ascii="Verdana" w:hAnsi="Verdana"/>
        </w:rPr>
        <w:t>Non-contrast CT scan: it can detect both stones and urinary tract obstruction, and has become the gold standard for the radiologic diagnosis of stone disease since stones not visualized on KUB or IVP will usually be detected by CT scan</w:t>
      </w:r>
    </w:p>
    <w:p w:rsidR="00770E54" w:rsidRPr="00AC2700" w:rsidRDefault="00770E54" w:rsidP="00A04D14">
      <w:pPr>
        <w:pStyle w:val="ListParagraph"/>
        <w:numPr>
          <w:ilvl w:val="1"/>
          <w:numId w:val="3"/>
        </w:numPr>
        <w:spacing w:after="0" w:line="240" w:lineRule="auto"/>
        <w:rPr>
          <w:rFonts w:ascii="Verdana" w:hAnsi="Verdana"/>
        </w:rPr>
      </w:pPr>
      <w:r w:rsidRPr="00AC2700">
        <w:rPr>
          <w:rFonts w:ascii="Verdana" w:hAnsi="Verdana"/>
        </w:rPr>
        <w:t>IVP: it has a higher sensitivity and specificity than an abdominal plain film for the detection of stones and provides data about the degree of obstruction. It was previously the diagnostic procedure of choice, but is no longer because of potential contrast reactions, lower sensitivity, and higher radiation exposure. It has been replaced by non-contrasted helical CT as the test of choice.</w:t>
      </w:r>
    </w:p>
    <w:p w:rsidR="00C82FA5" w:rsidRPr="00AC2700" w:rsidRDefault="00C82FA5" w:rsidP="00ED7DE9">
      <w:pPr>
        <w:pStyle w:val="Style1"/>
        <w:numPr>
          <w:ilvl w:val="0"/>
          <w:numId w:val="2"/>
        </w:numPr>
        <w:spacing w:before="240"/>
        <w:ind w:right="132"/>
        <w:rPr>
          <w:rFonts w:ascii="Verdana" w:hAnsi="Verdana"/>
          <w:color w:val="000000"/>
          <w:sz w:val="22"/>
          <w:szCs w:val="22"/>
        </w:rPr>
      </w:pPr>
      <w:r w:rsidRPr="00AC2700">
        <w:rPr>
          <w:rFonts w:ascii="Verdana" w:hAnsi="Verdana"/>
          <w:color w:val="000000"/>
          <w:sz w:val="22"/>
          <w:szCs w:val="22"/>
        </w:rPr>
        <w:t>Appropriately investigate all boys with urinary tract infections, and young girls with recurrences</w:t>
      </w:r>
      <w:r w:rsidR="00172D70" w:rsidRPr="00AC2700">
        <w:rPr>
          <w:rFonts w:ascii="Verdana" w:hAnsi="Verdana"/>
          <w:color w:val="000000"/>
          <w:sz w:val="22"/>
          <w:szCs w:val="22"/>
        </w:rPr>
        <w:t xml:space="preserve"> </w:t>
      </w:r>
      <w:r w:rsidRPr="00AC2700">
        <w:rPr>
          <w:rFonts w:ascii="Verdana" w:hAnsi="Verdana"/>
          <w:color w:val="000000"/>
          <w:sz w:val="22"/>
          <w:szCs w:val="22"/>
        </w:rPr>
        <w:t xml:space="preserve">(e.g., ultrasound). </w:t>
      </w:r>
    </w:p>
    <w:p w:rsidR="00ED7DE9" w:rsidRPr="00AC2700" w:rsidRDefault="00ED7DE9" w:rsidP="00ED7DE9">
      <w:pPr>
        <w:spacing w:after="0" w:line="240" w:lineRule="auto"/>
        <w:rPr>
          <w:rFonts w:ascii="Verdana" w:hAnsi="Verdana"/>
        </w:rPr>
      </w:pPr>
    </w:p>
    <w:p w:rsidR="00BB1FA4" w:rsidRPr="00AC2700" w:rsidRDefault="00271FFA" w:rsidP="00ED7DE9">
      <w:pPr>
        <w:spacing w:after="0" w:line="240" w:lineRule="auto"/>
        <w:rPr>
          <w:rFonts w:ascii="Verdana" w:hAnsi="Verdana"/>
        </w:rPr>
      </w:pPr>
      <w:r w:rsidRPr="00AC2700">
        <w:rPr>
          <w:rFonts w:ascii="Verdana" w:hAnsi="Verdana"/>
        </w:rPr>
        <w:t>Rational for imaging</w:t>
      </w:r>
      <w:r w:rsidR="00BB1FA4" w:rsidRPr="00AC2700">
        <w:rPr>
          <w:rFonts w:ascii="Verdana" w:hAnsi="Verdana"/>
        </w:rPr>
        <w:t xml:space="preserve"> studies</w:t>
      </w:r>
    </w:p>
    <w:p w:rsidR="00A73DEF" w:rsidRPr="00AC2700" w:rsidRDefault="0081649E" w:rsidP="00ED7DE9">
      <w:pPr>
        <w:pStyle w:val="ListParagraph"/>
        <w:numPr>
          <w:ilvl w:val="0"/>
          <w:numId w:val="7"/>
        </w:numPr>
        <w:spacing w:after="0" w:line="240" w:lineRule="auto"/>
        <w:rPr>
          <w:rFonts w:ascii="Verdana" w:hAnsi="Verdana"/>
        </w:rPr>
      </w:pPr>
      <w:r w:rsidRPr="00AC2700">
        <w:rPr>
          <w:rFonts w:ascii="Verdana" w:hAnsi="Verdana"/>
        </w:rPr>
        <w:t>Identify urinary tract abnormalities</w:t>
      </w:r>
      <w:r w:rsidR="00BB1FA4" w:rsidRPr="00AC2700">
        <w:rPr>
          <w:rFonts w:ascii="Verdana" w:hAnsi="Verdana"/>
        </w:rPr>
        <w:t xml:space="preserve"> and possible need for surgical intervention</w:t>
      </w:r>
    </w:p>
    <w:p w:rsidR="00A73DEF" w:rsidRPr="00AC2700" w:rsidRDefault="0081649E" w:rsidP="00ED7DE9">
      <w:pPr>
        <w:pStyle w:val="ListParagraph"/>
        <w:numPr>
          <w:ilvl w:val="0"/>
          <w:numId w:val="7"/>
        </w:numPr>
        <w:spacing w:after="0" w:line="240" w:lineRule="auto"/>
        <w:rPr>
          <w:rFonts w:ascii="Verdana" w:hAnsi="Verdana"/>
        </w:rPr>
      </w:pPr>
      <w:r w:rsidRPr="00AC2700">
        <w:rPr>
          <w:rFonts w:ascii="Verdana" w:hAnsi="Verdana"/>
        </w:rPr>
        <w:lastRenderedPageBreak/>
        <w:t>Identify patients at risk for subsequent renal damage</w:t>
      </w:r>
    </w:p>
    <w:p w:rsidR="008C3AAF" w:rsidRPr="00AC2700" w:rsidRDefault="008C3AAF" w:rsidP="00ED7DE9">
      <w:pPr>
        <w:spacing w:after="0" w:line="240" w:lineRule="auto"/>
        <w:rPr>
          <w:rFonts w:ascii="Verdana" w:eastAsia="Times New Roman" w:hAnsi="Verdana" w:cs="Times New Roman"/>
        </w:rPr>
      </w:pPr>
    </w:p>
    <w:p w:rsidR="00704FD7" w:rsidRPr="00AC2700" w:rsidRDefault="008C3AAF" w:rsidP="00ED7DE9">
      <w:pPr>
        <w:spacing w:after="0" w:line="240" w:lineRule="auto"/>
        <w:rPr>
          <w:rFonts w:ascii="Verdana" w:eastAsia="Times New Roman" w:hAnsi="Verdana" w:cs="Times New Roman"/>
        </w:rPr>
      </w:pPr>
      <w:r w:rsidRPr="00AC2700">
        <w:rPr>
          <w:rFonts w:ascii="Verdana" w:eastAsia="Times New Roman" w:hAnsi="Verdana" w:cs="Times New Roman"/>
        </w:rPr>
        <w:t xml:space="preserve">Ultrasound: </w:t>
      </w:r>
      <w:r w:rsidR="00704FD7" w:rsidRPr="00AC2700">
        <w:rPr>
          <w:rFonts w:ascii="Verdana" w:eastAsia="Times New Roman" w:hAnsi="Verdana" w:cs="Times New Roman"/>
        </w:rPr>
        <w:t xml:space="preserve">Given the potentially large benefit of detecting correctible malformations for a small number of children and the low risk of harm, we </w:t>
      </w:r>
      <w:r w:rsidR="0003281A" w:rsidRPr="00AC2700">
        <w:rPr>
          <w:rFonts w:ascii="Verdana" w:eastAsia="Times New Roman" w:hAnsi="Verdana" w:cs="Times New Roman"/>
        </w:rPr>
        <w:t xml:space="preserve">(uptodate.com) </w:t>
      </w:r>
      <w:r w:rsidR="00704FD7" w:rsidRPr="00AC2700">
        <w:rPr>
          <w:rFonts w:ascii="Verdana" w:eastAsia="Times New Roman" w:hAnsi="Verdana" w:cs="Times New Roman"/>
        </w:rPr>
        <w:t xml:space="preserve">suggest Renal and Bladder U/S in for the following children: </w:t>
      </w:r>
    </w:p>
    <w:p w:rsidR="00A73DEF" w:rsidRPr="00AC2700" w:rsidRDefault="0081649E" w:rsidP="00ED7DE9">
      <w:pPr>
        <w:pStyle w:val="ListParagraph"/>
        <w:numPr>
          <w:ilvl w:val="0"/>
          <w:numId w:val="7"/>
        </w:numPr>
        <w:spacing w:before="100" w:beforeAutospacing="1" w:after="0" w:line="240" w:lineRule="auto"/>
        <w:rPr>
          <w:rFonts w:ascii="Verdana" w:eastAsia="Times New Roman" w:hAnsi="Verdana" w:cs="Times New Roman"/>
        </w:rPr>
      </w:pPr>
      <w:r w:rsidRPr="00AC2700">
        <w:rPr>
          <w:rFonts w:ascii="Verdana" w:eastAsia="Times New Roman" w:hAnsi="Verdana" w:cs="Times New Roman"/>
        </w:rPr>
        <w:t>Girls &lt; 3 yrs with first UTI</w:t>
      </w:r>
    </w:p>
    <w:p w:rsidR="00A65362" w:rsidRPr="00AC2700" w:rsidRDefault="0081649E" w:rsidP="00ED7DE9">
      <w:pPr>
        <w:pStyle w:val="ListParagraph"/>
        <w:numPr>
          <w:ilvl w:val="0"/>
          <w:numId w:val="7"/>
        </w:numPr>
        <w:spacing w:before="100" w:beforeAutospacing="1" w:after="0" w:line="240" w:lineRule="auto"/>
        <w:rPr>
          <w:rFonts w:ascii="Verdana" w:eastAsia="Times New Roman" w:hAnsi="Verdana" w:cs="Times New Roman"/>
        </w:rPr>
      </w:pPr>
      <w:r w:rsidRPr="00AC2700">
        <w:rPr>
          <w:rFonts w:ascii="Verdana" w:eastAsia="Times New Roman" w:hAnsi="Verdana" w:cs="Times New Roman"/>
        </w:rPr>
        <w:t>Boys of any age with first UTI</w:t>
      </w:r>
    </w:p>
    <w:p w:rsidR="00704FD7" w:rsidRPr="00AC2700" w:rsidRDefault="00704FD7" w:rsidP="00ED7DE9">
      <w:pPr>
        <w:pStyle w:val="ListParagraph"/>
        <w:numPr>
          <w:ilvl w:val="0"/>
          <w:numId w:val="7"/>
        </w:numPr>
        <w:spacing w:before="100" w:beforeAutospacing="1" w:after="0" w:line="240" w:lineRule="auto"/>
        <w:rPr>
          <w:rFonts w:ascii="Verdana" w:eastAsia="Times New Roman" w:hAnsi="Verdana" w:cs="Times New Roman"/>
        </w:rPr>
      </w:pPr>
      <w:r w:rsidRPr="00AC2700">
        <w:rPr>
          <w:rFonts w:ascii="Verdana" w:eastAsia="Times New Roman" w:hAnsi="Verdana" w:cs="Times New Roman"/>
        </w:rPr>
        <w:t>Children younger than two years of age with a first febrile UTI</w:t>
      </w:r>
    </w:p>
    <w:p w:rsidR="00704FD7" w:rsidRPr="00AC2700" w:rsidRDefault="00704FD7" w:rsidP="00ED7DE9">
      <w:pPr>
        <w:pStyle w:val="ListParagraph"/>
        <w:numPr>
          <w:ilvl w:val="0"/>
          <w:numId w:val="7"/>
        </w:numPr>
        <w:spacing w:before="100" w:beforeAutospacing="1" w:after="0" w:line="240" w:lineRule="auto"/>
        <w:rPr>
          <w:rFonts w:ascii="Verdana" w:eastAsia="Times New Roman" w:hAnsi="Verdana" w:cs="Times New Roman"/>
        </w:rPr>
      </w:pPr>
      <w:r w:rsidRPr="00AC2700">
        <w:rPr>
          <w:rFonts w:ascii="Verdana" w:eastAsia="Times New Roman" w:hAnsi="Verdana" w:cs="Times New Roman"/>
        </w:rPr>
        <w:t xml:space="preserve">Children of any age with recurrent febrile UTIs </w:t>
      </w:r>
    </w:p>
    <w:p w:rsidR="00704FD7" w:rsidRPr="00AC2700" w:rsidRDefault="00704FD7" w:rsidP="00ED7DE9">
      <w:pPr>
        <w:pStyle w:val="ListParagraph"/>
        <w:numPr>
          <w:ilvl w:val="0"/>
          <w:numId w:val="7"/>
        </w:numPr>
        <w:spacing w:before="100" w:beforeAutospacing="1" w:after="0" w:line="240" w:lineRule="auto"/>
        <w:rPr>
          <w:rFonts w:ascii="Verdana" w:eastAsia="Times New Roman" w:hAnsi="Verdana" w:cs="Times New Roman"/>
        </w:rPr>
      </w:pPr>
      <w:r w:rsidRPr="00AC2700">
        <w:rPr>
          <w:rFonts w:ascii="Verdana" w:eastAsia="Times New Roman" w:hAnsi="Verdana" w:cs="Times New Roman"/>
        </w:rPr>
        <w:t>Children of any age with a UTI who have a family history of renal or urologic disease or poor growth</w:t>
      </w:r>
    </w:p>
    <w:p w:rsidR="00704FD7" w:rsidRPr="00AC2700" w:rsidRDefault="00704FD7" w:rsidP="00ED7DE9">
      <w:pPr>
        <w:pStyle w:val="ListParagraph"/>
        <w:numPr>
          <w:ilvl w:val="0"/>
          <w:numId w:val="7"/>
        </w:numPr>
        <w:spacing w:before="100" w:beforeAutospacing="1" w:after="0" w:line="240" w:lineRule="auto"/>
        <w:rPr>
          <w:rFonts w:ascii="Verdana" w:eastAsia="Times New Roman" w:hAnsi="Verdana" w:cs="Times New Roman"/>
        </w:rPr>
      </w:pPr>
      <w:r w:rsidRPr="00AC2700">
        <w:rPr>
          <w:rFonts w:ascii="Verdana" w:eastAsia="Times New Roman" w:hAnsi="Verdana" w:cs="Times New Roman"/>
        </w:rPr>
        <w:t xml:space="preserve">Children who do not respond as expected to appropriate antimicrobial therapy </w:t>
      </w:r>
    </w:p>
    <w:p w:rsidR="008C3AAF" w:rsidRPr="00AC2700" w:rsidRDefault="008C3AAF" w:rsidP="008C3AAF">
      <w:pPr>
        <w:spacing w:after="0" w:line="240" w:lineRule="auto"/>
        <w:rPr>
          <w:rStyle w:val="h22"/>
          <w:rFonts w:ascii="Verdana" w:hAnsi="Verdana"/>
        </w:rPr>
      </w:pPr>
    </w:p>
    <w:p w:rsidR="00BB1FA4" w:rsidRPr="00AC2700" w:rsidRDefault="008C3AAF" w:rsidP="00843609">
      <w:pPr>
        <w:spacing w:after="0" w:line="240" w:lineRule="auto"/>
        <w:rPr>
          <w:rFonts w:ascii="Verdana" w:hAnsi="Verdana"/>
        </w:rPr>
      </w:pPr>
      <w:r w:rsidRPr="00AC2700">
        <w:rPr>
          <w:rStyle w:val="h22"/>
          <w:rFonts w:ascii="Verdana" w:hAnsi="Verdana"/>
          <w:b w:val="0"/>
        </w:rPr>
        <w:t>Voiding cystourethrogram</w:t>
      </w:r>
      <w:r w:rsidRPr="00AC2700">
        <w:rPr>
          <w:rFonts w:ascii="Verdana" w:hAnsi="Verdana"/>
        </w:rPr>
        <w:t>: for detection of Vesicoureteral reflux (VUR) is indicated in the following:</w:t>
      </w:r>
    </w:p>
    <w:p w:rsidR="008C3AAF" w:rsidRPr="00AC2700" w:rsidRDefault="008C3AAF" w:rsidP="00843609">
      <w:pPr>
        <w:numPr>
          <w:ilvl w:val="0"/>
          <w:numId w:val="7"/>
        </w:numPr>
        <w:spacing w:after="0" w:line="240" w:lineRule="auto"/>
        <w:rPr>
          <w:rFonts w:ascii="Verdana" w:eastAsia="Times New Roman" w:hAnsi="Verdana" w:cs="Times New Roman"/>
        </w:rPr>
      </w:pPr>
      <w:r w:rsidRPr="00AC2700">
        <w:rPr>
          <w:rFonts w:ascii="Verdana" w:eastAsia="Times New Roman" w:hAnsi="Verdana" w:cs="Times New Roman"/>
        </w:rPr>
        <w:t>Children of any age with two or more febrile UTIs</w:t>
      </w:r>
    </w:p>
    <w:p w:rsidR="008C3AAF" w:rsidRPr="00AC2700" w:rsidRDefault="008C3AAF" w:rsidP="00843609">
      <w:pPr>
        <w:numPr>
          <w:ilvl w:val="0"/>
          <w:numId w:val="7"/>
        </w:numPr>
        <w:spacing w:after="0" w:line="240" w:lineRule="auto"/>
        <w:rPr>
          <w:rFonts w:ascii="Verdana" w:eastAsia="Times New Roman" w:hAnsi="Verdana" w:cs="Times New Roman"/>
        </w:rPr>
      </w:pPr>
      <w:r w:rsidRPr="00AC2700">
        <w:rPr>
          <w:rFonts w:ascii="Verdana" w:eastAsia="Times New Roman" w:hAnsi="Verdana" w:cs="Times New Roman"/>
        </w:rPr>
        <w:t>Children of any age with a first febrile UTI who have a family history of renal or urologic disease; poor growth; hypertension; or non-</w:t>
      </w:r>
      <w:r w:rsidRPr="00AC2700">
        <w:rPr>
          <w:rFonts w:ascii="Verdana" w:eastAsia="Times New Roman" w:hAnsi="Verdana" w:cs="Times New Roman"/>
          <w:i/>
          <w:iCs/>
        </w:rPr>
        <w:t>E. coli</w:t>
      </w:r>
      <w:r w:rsidRPr="00AC2700">
        <w:rPr>
          <w:rFonts w:ascii="Verdana" w:eastAsia="Times New Roman" w:hAnsi="Verdana" w:cs="Times New Roman"/>
        </w:rPr>
        <w:t xml:space="preserve"> organism. Urinary tract anomalies are more frequent among children with UTI caused by pathogens other than </w:t>
      </w:r>
      <w:r w:rsidRPr="00AC2700">
        <w:rPr>
          <w:rFonts w:ascii="Verdana" w:eastAsia="Times New Roman" w:hAnsi="Verdana" w:cs="Times New Roman"/>
          <w:i/>
          <w:iCs/>
        </w:rPr>
        <w:t xml:space="preserve">E. coli </w:t>
      </w:r>
    </w:p>
    <w:p w:rsidR="008C3AAF" w:rsidRPr="00AC2700" w:rsidRDefault="008C3AAF" w:rsidP="00843609">
      <w:pPr>
        <w:pStyle w:val="ListParagraph"/>
        <w:spacing w:after="0" w:line="240" w:lineRule="auto"/>
        <w:rPr>
          <w:rFonts w:ascii="Verdana" w:hAnsi="Verdana"/>
          <w:highlight w:val="yellow"/>
        </w:rPr>
      </w:pPr>
    </w:p>
    <w:p w:rsidR="00C82FA5" w:rsidRPr="00AC2700" w:rsidRDefault="00C82FA5" w:rsidP="00C82FA5">
      <w:pPr>
        <w:pStyle w:val="Style1"/>
        <w:numPr>
          <w:ilvl w:val="0"/>
          <w:numId w:val="2"/>
        </w:numPr>
        <w:spacing w:before="240"/>
        <w:ind w:right="132"/>
        <w:rPr>
          <w:rFonts w:ascii="Verdana" w:hAnsi="Verdana"/>
          <w:color w:val="000000"/>
          <w:sz w:val="22"/>
          <w:szCs w:val="22"/>
        </w:rPr>
      </w:pPr>
      <w:r w:rsidRPr="00AC2700">
        <w:rPr>
          <w:rFonts w:ascii="Verdana" w:hAnsi="Verdana"/>
          <w:color w:val="000000"/>
          <w:sz w:val="22"/>
          <w:szCs w:val="22"/>
        </w:rPr>
        <w:t xml:space="preserve">In diagnosing urinary tract infections, search for and/or recognize high-risk factors on history (e.g., pregnancy; immune compromise, neonate, a young male, or an elderly male with prostatic hypertrophy). </w:t>
      </w:r>
    </w:p>
    <w:p w:rsidR="00F315F7" w:rsidRPr="00AC2700" w:rsidRDefault="00F315F7" w:rsidP="00F315F7">
      <w:pPr>
        <w:rPr>
          <w:rFonts w:ascii="Verdana" w:hAnsi="Verdana"/>
        </w:rPr>
      </w:pPr>
    </w:p>
    <w:p w:rsidR="00F315F7" w:rsidRPr="00AC2700" w:rsidRDefault="00F315F7" w:rsidP="00F315F7">
      <w:pPr>
        <w:rPr>
          <w:rFonts w:ascii="Verdana" w:hAnsi="Verdana"/>
        </w:rPr>
      </w:pPr>
      <w:r w:rsidRPr="00AC2700">
        <w:rPr>
          <w:rFonts w:ascii="Verdana" w:hAnsi="Verdana"/>
        </w:rPr>
        <w:t xml:space="preserve">UTI in pregnancy whether </w:t>
      </w:r>
      <w:r w:rsidR="00A25452" w:rsidRPr="00AC2700">
        <w:rPr>
          <w:rFonts w:ascii="Verdana" w:hAnsi="Verdana"/>
        </w:rPr>
        <w:t xml:space="preserve">it is </w:t>
      </w:r>
      <w:r w:rsidRPr="00AC2700">
        <w:rPr>
          <w:rFonts w:ascii="Verdana" w:hAnsi="Verdana"/>
        </w:rPr>
        <w:t xml:space="preserve">symptomatic or asymptomatic has been associated with an increased risk of preterm birth, low birth weight, and perinatal mortality. This is why it must be treated at all times. </w:t>
      </w:r>
    </w:p>
    <w:p w:rsidR="00F315F7" w:rsidRPr="00AC2700" w:rsidRDefault="00F315F7" w:rsidP="00F315F7">
      <w:pPr>
        <w:rPr>
          <w:rFonts w:ascii="Verdana" w:hAnsi="Verdana"/>
        </w:rPr>
      </w:pPr>
      <w:r w:rsidRPr="00AC2700">
        <w:rPr>
          <w:rFonts w:ascii="Verdana" w:hAnsi="Verdana"/>
        </w:rPr>
        <w:t>Elderly male with BPH:</w:t>
      </w:r>
      <w:r w:rsidR="00A25452" w:rsidRPr="00AC2700">
        <w:rPr>
          <w:rFonts w:ascii="Verdana" w:hAnsi="Verdana"/>
        </w:rPr>
        <w:t xml:space="preserve"> The increase in UTI that occur in </w:t>
      </w:r>
      <w:r w:rsidR="00461C3D" w:rsidRPr="00AC2700">
        <w:rPr>
          <w:rFonts w:ascii="Verdana" w:hAnsi="Verdana"/>
        </w:rPr>
        <w:t>men of age 50-65 years of age parallels the increase in prostate size that occurs with hyperplasia. This enlargement leads to bladder outflow tract obstruction and a postvoid residual begins to develop in the bladder. This along with what is thought to be reduced</w:t>
      </w:r>
      <w:r w:rsidR="00A9528F" w:rsidRPr="00AC2700">
        <w:rPr>
          <w:rFonts w:ascii="Verdana" w:hAnsi="Verdana"/>
        </w:rPr>
        <w:t xml:space="preserve"> </w:t>
      </w:r>
      <w:r w:rsidR="005D3269" w:rsidRPr="00AC2700">
        <w:rPr>
          <w:rFonts w:ascii="Verdana" w:hAnsi="Verdana"/>
        </w:rPr>
        <w:t xml:space="preserve">antibacterial activity of prostatic secretions among men in this age group puts them at risk for UTIs. </w:t>
      </w:r>
    </w:p>
    <w:p w:rsidR="00C82FA5" w:rsidRPr="00AC2700" w:rsidRDefault="00C82FA5" w:rsidP="00C82FA5">
      <w:pPr>
        <w:pStyle w:val="Style1"/>
        <w:numPr>
          <w:ilvl w:val="0"/>
          <w:numId w:val="2"/>
        </w:numPr>
        <w:spacing w:before="240" w:after="60"/>
        <w:ind w:right="132"/>
        <w:rPr>
          <w:rFonts w:ascii="Verdana" w:hAnsi="Verdana"/>
          <w:color w:val="000000"/>
          <w:sz w:val="22"/>
          <w:szCs w:val="22"/>
        </w:rPr>
      </w:pPr>
      <w:r w:rsidRPr="00AC2700">
        <w:rPr>
          <w:rFonts w:ascii="Verdana" w:hAnsi="Verdana"/>
          <w:color w:val="000000"/>
          <w:sz w:val="22"/>
          <w:szCs w:val="22"/>
        </w:rPr>
        <w:t xml:space="preserve">In a patient with a diagnosed urinary tract infection, modify the choice and duration of treatment according to risk factors (e.g., pregnancy, immunocompromise, male extremes of age); and treat before confirmation of culture results in some cases (e.g.,pregnancy, sepsis, pyelonephritis). </w:t>
      </w:r>
    </w:p>
    <w:p w:rsidR="00A916C4" w:rsidRDefault="00A916C4" w:rsidP="0013139E">
      <w:pPr>
        <w:rPr>
          <w:rFonts w:ascii="Verdana" w:hAnsi="Verdana"/>
          <w:u w:val="single"/>
        </w:rPr>
      </w:pPr>
    </w:p>
    <w:p w:rsidR="00A916C4" w:rsidRDefault="00A916C4" w:rsidP="0013139E">
      <w:pPr>
        <w:rPr>
          <w:rFonts w:ascii="Verdana" w:hAnsi="Verdana"/>
          <w:u w:val="single"/>
        </w:rPr>
      </w:pPr>
    </w:p>
    <w:p w:rsidR="0013139E" w:rsidRPr="00AC2700" w:rsidRDefault="0013139E" w:rsidP="0013139E">
      <w:pPr>
        <w:rPr>
          <w:rFonts w:ascii="Verdana" w:hAnsi="Verdana"/>
          <w:u w:val="single"/>
        </w:rPr>
      </w:pPr>
      <w:r w:rsidRPr="00AC2700">
        <w:rPr>
          <w:rFonts w:ascii="Verdana" w:hAnsi="Verdana"/>
          <w:u w:val="single"/>
        </w:rPr>
        <w:lastRenderedPageBreak/>
        <w:t>Treatment of uncomplicated UTI</w:t>
      </w:r>
    </w:p>
    <w:p w:rsidR="00617FAA" w:rsidRPr="00AC2700" w:rsidRDefault="00617FAA" w:rsidP="00617FAA">
      <w:pPr>
        <w:pStyle w:val="ListParagraph"/>
        <w:numPr>
          <w:ilvl w:val="0"/>
          <w:numId w:val="6"/>
        </w:numPr>
        <w:rPr>
          <w:rFonts w:ascii="Verdana" w:hAnsi="Verdana"/>
          <w:u w:val="single"/>
        </w:rPr>
      </w:pPr>
      <w:r w:rsidRPr="00AC2700">
        <w:rPr>
          <w:rFonts w:ascii="Verdana" w:hAnsi="Verdana"/>
        </w:rPr>
        <w:t>Urine C&amp;S is usually not necessary in the management of uncomplicated UTI. It should however be considered in patients suspected of having a complicated UTI, if the patient did not respond to the standard therapy or if the patient has recurr</w:t>
      </w:r>
      <w:r w:rsidR="003C0262" w:rsidRPr="00AC2700">
        <w:rPr>
          <w:rFonts w:ascii="Verdana" w:hAnsi="Verdana"/>
        </w:rPr>
        <w:t>ent UTI</w:t>
      </w:r>
      <w:r w:rsidRPr="00AC2700">
        <w:rPr>
          <w:rFonts w:ascii="Verdana" w:hAnsi="Verdana"/>
        </w:rPr>
        <w:t xml:space="preserve">s. </w:t>
      </w:r>
    </w:p>
    <w:p w:rsidR="003C0262" w:rsidRPr="00AC2700" w:rsidRDefault="003C0262" w:rsidP="00617FAA">
      <w:pPr>
        <w:pStyle w:val="ListParagraph"/>
        <w:numPr>
          <w:ilvl w:val="0"/>
          <w:numId w:val="6"/>
        </w:numPr>
        <w:rPr>
          <w:rFonts w:ascii="Verdana" w:hAnsi="Verdana"/>
          <w:u w:val="single"/>
        </w:rPr>
      </w:pPr>
      <w:r w:rsidRPr="00AC2700">
        <w:rPr>
          <w:rFonts w:ascii="Verdana" w:hAnsi="Verdana"/>
        </w:rPr>
        <w:t>First line</w:t>
      </w:r>
    </w:p>
    <w:p w:rsidR="003C0262" w:rsidRPr="00AC2700" w:rsidRDefault="003C0262" w:rsidP="003C0262">
      <w:pPr>
        <w:pStyle w:val="ListParagraph"/>
        <w:numPr>
          <w:ilvl w:val="1"/>
          <w:numId w:val="6"/>
        </w:numPr>
        <w:rPr>
          <w:rFonts w:ascii="Verdana" w:hAnsi="Verdana"/>
          <w:u w:val="single"/>
        </w:rPr>
      </w:pPr>
      <w:r w:rsidRPr="00AC2700">
        <w:rPr>
          <w:rFonts w:ascii="Verdana" w:hAnsi="Verdana"/>
        </w:rPr>
        <w:t>TMP/SMX 2 tabs BID or 1 DS tab BID x 3 days</w:t>
      </w:r>
    </w:p>
    <w:p w:rsidR="003C0262" w:rsidRPr="00AC2700" w:rsidRDefault="003C0262" w:rsidP="003C0262">
      <w:pPr>
        <w:pStyle w:val="ListParagraph"/>
        <w:numPr>
          <w:ilvl w:val="1"/>
          <w:numId w:val="6"/>
        </w:numPr>
        <w:rPr>
          <w:rFonts w:ascii="Verdana" w:hAnsi="Verdana"/>
          <w:u w:val="single"/>
        </w:rPr>
      </w:pPr>
      <w:r w:rsidRPr="00AC2700">
        <w:rPr>
          <w:rFonts w:ascii="Verdana" w:hAnsi="Verdana"/>
        </w:rPr>
        <w:t>Trimethoprim 100mg BID or 200mg qdaily x 3days</w:t>
      </w:r>
    </w:p>
    <w:p w:rsidR="003C0262" w:rsidRPr="00AC2700" w:rsidRDefault="003C0262" w:rsidP="003C0262">
      <w:pPr>
        <w:pStyle w:val="ListParagraph"/>
        <w:numPr>
          <w:ilvl w:val="1"/>
          <w:numId w:val="6"/>
        </w:numPr>
        <w:rPr>
          <w:rFonts w:ascii="Verdana" w:hAnsi="Verdana"/>
          <w:u w:val="single"/>
        </w:rPr>
      </w:pPr>
      <w:r w:rsidRPr="00AC2700">
        <w:rPr>
          <w:rFonts w:ascii="Verdana" w:hAnsi="Verdana"/>
        </w:rPr>
        <w:t>Nitrofurantoin 50-100mg QID or Macrobid 100mg BID x 5 days</w:t>
      </w:r>
      <w:r w:rsidR="0016476D" w:rsidRPr="00AC2700">
        <w:rPr>
          <w:rFonts w:ascii="Verdana" w:hAnsi="Verdana"/>
        </w:rPr>
        <w:t xml:space="preserve"> (x 7days for nursing home population). Not to be used in infants &lt;1 month of age or in renal failure CrCl &lt;60mL/min. </w:t>
      </w:r>
    </w:p>
    <w:p w:rsidR="003C0262" w:rsidRPr="00AC2700" w:rsidRDefault="003C0262" w:rsidP="003C0262">
      <w:pPr>
        <w:pStyle w:val="ListParagraph"/>
        <w:numPr>
          <w:ilvl w:val="0"/>
          <w:numId w:val="6"/>
        </w:numPr>
        <w:rPr>
          <w:rFonts w:ascii="Verdana" w:hAnsi="Verdana"/>
          <w:u w:val="single"/>
        </w:rPr>
      </w:pPr>
      <w:r w:rsidRPr="00AC2700">
        <w:rPr>
          <w:rFonts w:ascii="Verdana" w:hAnsi="Verdana"/>
        </w:rPr>
        <w:t>Second Line</w:t>
      </w:r>
    </w:p>
    <w:p w:rsidR="0016476D" w:rsidRPr="00AC2700" w:rsidRDefault="0016476D" w:rsidP="0016476D">
      <w:pPr>
        <w:pStyle w:val="ListParagraph"/>
        <w:numPr>
          <w:ilvl w:val="1"/>
          <w:numId w:val="6"/>
        </w:numPr>
        <w:rPr>
          <w:rFonts w:ascii="Verdana" w:hAnsi="Verdana"/>
          <w:u w:val="single"/>
        </w:rPr>
      </w:pPr>
      <w:r w:rsidRPr="00AC2700">
        <w:rPr>
          <w:rFonts w:ascii="Verdana" w:hAnsi="Verdana"/>
        </w:rPr>
        <w:t>Amoxicillin 500mg TID x 7 days (40% of bacteria are resistant)</w:t>
      </w:r>
    </w:p>
    <w:p w:rsidR="0016476D" w:rsidRPr="00AC2700" w:rsidRDefault="0016476D" w:rsidP="0016476D">
      <w:pPr>
        <w:pStyle w:val="ListParagraph"/>
        <w:numPr>
          <w:ilvl w:val="1"/>
          <w:numId w:val="6"/>
        </w:numPr>
        <w:rPr>
          <w:rFonts w:ascii="Verdana" w:hAnsi="Verdana"/>
          <w:u w:val="single"/>
        </w:rPr>
      </w:pPr>
      <w:r w:rsidRPr="00AC2700">
        <w:rPr>
          <w:rFonts w:ascii="Verdana" w:hAnsi="Verdana"/>
        </w:rPr>
        <w:t>Ciprofloxacin 250mg BID or 500mg of extended release qdaily x 3 days</w:t>
      </w:r>
    </w:p>
    <w:p w:rsidR="003C0262" w:rsidRPr="00AC2700" w:rsidRDefault="003C0262" w:rsidP="003C0262">
      <w:pPr>
        <w:pStyle w:val="ListParagraph"/>
        <w:numPr>
          <w:ilvl w:val="0"/>
          <w:numId w:val="6"/>
        </w:numPr>
        <w:rPr>
          <w:rFonts w:ascii="Verdana" w:hAnsi="Verdana"/>
          <w:u w:val="single"/>
        </w:rPr>
      </w:pPr>
      <w:r w:rsidRPr="00AC2700">
        <w:rPr>
          <w:rFonts w:ascii="Verdana" w:hAnsi="Verdana"/>
        </w:rPr>
        <w:t>Third Line</w:t>
      </w:r>
    </w:p>
    <w:p w:rsidR="0016476D" w:rsidRPr="00AC2700" w:rsidRDefault="0016476D" w:rsidP="0016476D">
      <w:pPr>
        <w:pStyle w:val="ListParagraph"/>
        <w:numPr>
          <w:ilvl w:val="1"/>
          <w:numId w:val="6"/>
        </w:numPr>
        <w:rPr>
          <w:rFonts w:ascii="Verdana" w:hAnsi="Verdana"/>
          <w:u w:val="single"/>
        </w:rPr>
      </w:pPr>
      <w:r w:rsidRPr="00AC2700">
        <w:rPr>
          <w:rFonts w:ascii="Verdana" w:hAnsi="Verdana"/>
        </w:rPr>
        <w:t>Cephalexin 250-500mg QID x 7 days</w:t>
      </w:r>
    </w:p>
    <w:p w:rsidR="0016476D" w:rsidRPr="00AC2700" w:rsidRDefault="0016476D" w:rsidP="0016476D">
      <w:pPr>
        <w:pStyle w:val="ListParagraph"/>
        <w:numPr>
          <w:ilvl w:val="1"/>
          <w:numId w:val="6"/>
        </w:numPr>
        <w:rPr>
          <w:rFonts w:ascii="Verdana" w:hAnsi="Verdana"/>
          <w:u w:val="single"/>
        </w:rPr>
      </w:pPr>
      <w:r w:rsidRPr="00AC2700">
        <w:rPr>
          <w:rFonts w:ascii="Verdana" w:hAnsi="Verdana"/>
        </w:rPr>
        <w:t>Levofloxacin 250mg qdaily x 3 days</w:t>
      </w:r>
    </w:p>
    <w:p w:rsidR="002D70C1" w:rsidRPr="00AC2700" w:rsidRDefault="002D70C1" w:rsidP="0013139E">
      <w:pPr>
        <w:rPr>
          <w:rFonts w:ascii="Verdana" w:hAnsi="Verdana"/>
          <w:u w:val="single"/>
        </w:rPr>
      </w:pPr>
      <w:r w:rsidRPr="00AC2700">
        <w:rPr>
          <w:rFonts w:ascii="Verdana" w:hAnsi="Verdana"/>
          <w:u w:val="single"/>
        </w:rPr>
        <w:t>Treatment of UTIs in Nursing home/LTC patients</w:t>
      </w:r>
    </w:p>
    <w:p w:rsidR="002D70C1" w:rsidRPr="00AC2700" w:rsidRDefault="002D70C1" w:rsidP="002D70C1">
      <w:pPr>
        <w:pStyle w:val="ListParagraph"/>
        <w:numPr>
          <w:ilvl w:val="0"/>
          <w:numId w:val="6"/>
        </w:numPr>
        <w:rPr>
          <w:rFonts w:ascii="Verdana" w:hAnsi="Verdana"/>
          <w:u w:val="single"/>
        </w:rPr>
      </w:pPr>
      <w:r w:rsidRPr="00AC2700">
        <w:rPr>
          <w:rFonts w:ascii="Verdana" w:hAnsi="Verdana"/>
        </w:rPr>
        <w:t>Generally 7 days of treatment. For those presenting with fever or more severe symptoms 10-14 days is recommended</w:t>
      </w:r>
    </w:p>
    <w:p w:rsidR="002D70C1" w:rsidRPr="00AC2700" w:rsidRDefault="002D70C1" w:rsidP="002D70C1">
      <w:pPr>
        <w:pStyle w:val="ListParagraph"/>
        <w:numPr>
          <w:ilvl w:val="0"/>
          <w:numId w:val="6"/>
        </w:numPr>
        <w:rPr>
          <w:rFonts w:ascii="Verdana" w:hAnsi="Verdana"/>
          <w:u w:val="single"/>
        </w:rPr>
      </w:pPr>
      <w:r w:rsidRPr="00AC2700">
        <w:rPr>
          <w:rFonts w:ascii="Verdana" w:hAnsi="Verdana"/>
        </w:rPr>
        <w:t xml:space="preserve">Routine screening and treatment of asymptomatic bacteriuria in nursing home residents is not recommended. </w:t>
      </w:r>
    </w:p>
    <w:p w:rsidR="00524776" w:rsidRPr="00AC2700" w:rsidRDefault="00524776" w:rsidP="002D70C1">
      <w:pPr>
        <w:pStyle w:val="ListParagraph"/>
        <w:numPr>
          <w:ilvl w:val="0"/>
          <w:numId w:val="6"/>
        </w:numPr>
        <w:rPr>
          <w:rFonts w:ascii="Verdana" w:hAnsi="Verdana"/>
          <w:u w:val="single"/>
        </w:rPr>
      </w:pPr>
      <w:r w:rsidRPr="00AC2700">
        <w:rPr>
          <w:rFonts w:ascii="Verdana" w:hAnsi="Verdana"/>
        </w:rPr>
        <w:t xml:space="preserve">Treatment is the same as for Uncomplicated UTI with adjustment to the duration of therapy. </w:t>
      </w:r>
    </w:p>
    <w:p w:rsidR="0081649E" w:rsidRPr="00AC2700" w:rsidRDefault="0081649E" w:rsidP="0013139E">
      <w:pPr>
        <w:rPr>
          <w:rFonts w:ascii="Verdana" w:hAnsi="Verdana"/>
          <w:u w:val="single"/>
        </w:rPr>
      </w:pPr>
      <w:r w:rsidRPr="00AC2700">
        <w:rPr>
          <w:rFonts w:ascii="Verdana" w:hAnsi="Verdana"/>
          <w:u w:val="single"/>
        </w:rPr>
        <w:t>Treatment of complicated UTI</w:t>
      </w:r>
    </w:p>
    <w:p w:rsidR="00ED3485" w:rsidRPr="00AC2700" w:rsidRDefault="00ED3485" w:rsidP="00ED3485">
      <w:pPr>
        <w:pStyle w:val="ListParagraph"/>
        <w:numPr>
          <w:ilvl w:val="0"/>
          <w:numId w:val="6"/>
        </w:numPr>
        <w:rPr>
          <w:rFonts w:ascii="Verdana" w:hAnsi="Verdana"/>
        </w:rPr>
      </w:pPr>
      <w:r w:rsidRPr="00AC2700">
        <w:rPr>
          <w:rFonts w:ascii="Verdana" w:hAnsi="Verdana"/>
        </w:rPr>
        <w:t xml:space="preserve">Includes patients with structural or functional abnormalities such as: obstruction, chronic catheter, spinal cord injury etc. or any UTI in men. </w:t>
      </w:r>
    </w:p>
    <w:p w:rsidR="00ED3485" w:rsidRPr="00AC2700" w:rsidRDefault="00ED3485" w:rsidP="00ED3485">
      <w:pPr>
        <w:pStyle w:val="ListParagraph"/>
        <w:numPr>
          <w:ilvl w:val="0"/>
          <w:numId w:val="6"/>
        </w:numPr>
        <w:rPr>
          <w:rFonts w:ascii="Verdana" w:hAnsi="Verdana"/>
        </w:rPr>
      </w:pPr>
      <w:r w:rsidRPr="00AC2700">
        <w:rPr>
          <w:rFonts w:ascii="Verdana" w:hAnsi="Verdana"/>
        </w:rPr>
        <w:t xml:space="preserve">Culture required before Ab therapy. </w:t>
      </w:r>
    </w:p>
    <w:p w:rsidR="00ED3485" w:rsidRPr="00AC2700" w:rsidRDefault="00ED3485" w:rsidP="00ED3485">
      <w:pPr>
        <w:pStyle w:val="ListParagraph"/>
        <w:numPr>
          <w:ilvl w:val="0"/>
          <w:numId w:val="6"/>
        </w:numPr>
        <w:rPr>
          <w:rFonts w:ascii="Verdana" w:hAnsi="Verdana"/>
        </w:rPr>
      </w:pPr>
      <w:r w:rsidRPr="00AC2700">
        <w:rPr>
          <w:rFonts w:ascii="Verdana" w:hAnsi="Verdana"/>
        </w:rPr>
        <w:t>Duration: if cystitis with mild to moderate symptoms treat for 7-10 days. If upper tract (kidneys) symptoms or systemic signs such as fever, sepsis, vomiting</w:t>
      </w:r>
      <w:r w:rsidR="00F82002" w:rsidRPr="00AC2700">
        <w:rPr>
          <w:rFonts w:ascii="Verdana" w:hAnsi="Verdana"/>
        </w:rPr>
        <w:t xml:space="preserve"> treat for 10-14 days. </w:t>
      </w:r>
    </w:p>
    <w:p w:rsidR="00EC1634" w:rsidRPr="00AC2700" w:rsidRDefault="00E077E7" w:rsidP="00ED3485">
      <w:pPr>
        <w:pStyle w:val="ListParagraph"/>
        <w:numPr>
          <w:ilvl w:val="0"/>
          <w:numId w:val="6"/>
        </w:numPr>
        <w:rPr>
          <w:rFonts w:ascii="Verdana" w:hAnsi="Verdana"/>
        </w:rPr>
      </w:pPr>
      <w:r w:rsidRPr="00AC2700">
        <w:rPr>
          <w:rFonts w:ascii="Verdana" w:hAnsi="Verdana"/>
        </w:rPr>
        <w:t>First Line for mild to moderate</w:t>
      </w:r>
    </w:p>
    <w:p w:rsidR="00942D4F" w:rsidRPr="00AC2700" w:rsidRDefault="00942D4F" w:rsidP="00942D4F">
      <w:pPr>
        <w:pStyle w:val="ListParagraph"/>
        <w:numPr>
          <w:ilvl w:val="1"/>
          <w:numId w:val="6"/>
        </w:numPr>
        <w:rPr>
          <w:rFonts w:ascii="Verdana" w:hAnsi="Verdana"/>
          <w:u w:val="single"/>
        </w:rPr>
      </w:pPr>
      <w:r w:rsidRPr="00AC2700">
        <w:rPr>
          <w:rFonts w:ascii="Verdana" w:hAnsi="Verdana"/>
        </w:rPr>
        <w:t>TMP/SMX 2 tabs BID or 1 DS tab BID</w:t>
      </w:r>
    </w:p>
    <w:p w:rsidR="00942D4F" w:rsidRPr="00AC2700" w:rsidRDefault="00942D4F" w:rsidP="00942D4F">
      <w:pPr>
        <w:pStyle w:val="ListParagraph"/>
        <w:numPr>
          <w:ilvl w:val="1"/>
          <w:numId w:val="6"/>
        </w:numPr>
        <w:rPr>
          <w:rFonts w:ascii="Verdana" w:hAnsi="Verdana"/>
          <w:u w:val="single"/>
        </w:rPr>
      </w:pPr>
      <w:r w:rsidRPr="00AC2700">
        <w:rPr>
          <w:rFonts w:ascii="Verdana" w:hAnsi="Verdana"/>
        </w:rPr>
        <w:t>Trimethoprim 100mg BID or 200mg qdaily</w:t>
      </w:r>
    </w:p>
    <w:p w:rsidR="00942D4F" w:rsidRPr="00AC2700" w:rsidRDefault="00942D4F" w:rsidP="00942D4F">
      <w:pPr>
        <w:pStyle w:val="ListParagraph"/>
        <w:numPr>
          <w:ilvl w:val="1"/>
          <w:numId w:val="6"/>
        </w:numPr>
        <w:rPr>
          <w:rFonts w:ascii="Verdana" w:hAnsi="Verdana"/>
        </w:rPr>
      </w:pPr>
      <w:r w:rsidRPr="00AC2700">
        <w:rPr>
          <w:rFonts w:ascii="Verdana" w:hAnsi="Verdana"/>
        </w:rPr>
        <w:t>Nitrofurantoin 50-100mg QID or Macrobid 100mg BID</w:t>
      </w:r>
      <w:r w:rsidR="003158CE" w:rsidRPr="00AC2700">
        <w:rPr>
          <w:rFonts w:ascii="Verdana" w:hAnsi="Verdana"/>
        </w:rPr>
        <w:t xml:space="preserve"> (Not to be used in upper kidney involvement or if there is obstruction or tissue infection)</w:t>
      </w:r>
    </w:p>
    <w:p w:rsidR="00942D4F" w:rsidRPr="00AC2700" w:rsidRDefault="00942D4F" w:rsidP="00942D4F">
      <w:pPr>
        <w:pStyle w:val="ListParagraph"/>
        <w:numPr>
          <w:ilvl w:val="1"/>
          <w:numId w:val="6"/>
        </w:numPr>
        <w:rPr>
          <w:rFonts w:ascii="Verdana" w:hAnsi="Verdana"/>
          <w:u w:val="single"/>
        </w:rPr>
      </w:pPr>
      <w:r w:rsidRPr="00AC2700">
        <w:rPr>
          <w:rFonts w:ascii="Verdana" w:hAnsi="Verdana"/>
        </w:rPr>
        <w:t>Ciprofloxacin 500mg BID</w:t>
      </w:r>
      <w:r w:rsidR="003158CE" w:rsidRPr="00AC2700">
        <w:rPr>
          <w:rFonts w:ascii="Verdana" w:hAnsi="Verdana"/>
        </w:rPr>
        <w:t xml:space="preserve"> or 1g extended release qdaily</w:t>
      </w:r>
    </w:p>
    <w:p w:rsidR="00942D4F" w:rsidRPr="00AC2700" w:rsidRDefault="00942D4F" w:rsidP="00942D4F">
      <w:pPr>
        <w:pStyle w:val="ListParagraph"/>
        <w:numPr>
          <w:ilvl w:val="1"/>
          <w:numId w:val="6"/>
        </w:numPr>
        <w:rPr>
          <w:rFonts w:ascii="Verdana" w:hAnsi="Verdana"/>
          <w:u w:val="single"/>
        </w:rPr>
      </w:pPr>
      <w:r w:rsidRPr="00AC2700">
        <w:rPr>
          <w:rFonts w:ascii="Verdana" w:hAnsi="Verdana"/>
        </w:rPr>
        <w:lastRenderedPageBreak/>
        <w:t>Levofloxacin 500mg qdaily</w:t>
      </w:r>
    </w:p>
    <w:p w:rsidR="00E077E7" w:rsidRPr="00AC2700" w:rsidRDefault="00E077E7" w:rsidP="00ED3485">
      <w:pPr>
        <w:pStyle w:val="ListParagraph"/>
        <w:numPr>
          <w:ilvl w:val="0"/>
          <w:numId w:val="6"/>
        </w:numPr>
        <w:rPr>
          <w:rFonts w:ascii="Verdana" w:hAnsi="Verdana"/>
        </w:rPr>
      </w:pPr>
      <w:r w:rsidRPr="00AC2700">
        <w:rPr>
          <w:rFonts w:ascii="Verdana" w:hAnsi="Verdana"/>
        </w:rPr>
        <w:t>Second line for mild to moderate</w:t>
      </w:r>
    </w:p>
    <w:p w:rsidR="0003230A" w:rsidRPr="00AC2700" w:rsidRDefault="0003230A" w:rsidP="0003230A">
      <w:pPr>
        <w:pStyle w:val="ListParagraph"/>
        <w:numPr>
          <w:ilvl w:val="1"/>
          <w:numId w:val="6"/>
        </w:numPr>
        <w:rPr>
          <w:rFonts w:ascii="Verdana" w:hAnsi="Verdana"/>
        </w:rPr>
      </w:pPr>
      <w:r w:rsidRPr="00AC2700">
        <w:rPr>
          <w:rFonts w:ascii="Verdana" w:hAnsi="Verdana"/>
        </w:rPr>
        <w:t>Amox/Clav 500mg TID</w:t>
      </w:r>
    </w:p>
    <w:p w:rsidR="00E077E7" w:rsidRPr="00AC2700" w:rsidRDefault="00E077E7" w:rsidP="00ED3485">
      <w:pPr>
        <w:pStyle w:val="ListParagraph"/>
        <w:numPr>
          <w:ilvl w:val="0"/>
          <w:numId w:val="6"/>
        </w:numPr>
        <w:rPr>
          <w:rFonts w:ascii="Verdana" w:hAnsi="Verdana"/>
        </w:rPr>
      </w:pPr>
      <w:r w:rsidRPr="00AC2700">
        <w:rPr>
          <w:rFonts w:ascii="Verdana" w:hAnsi="Verdana"/>
        </w:rPr>
        <w:t>First line for severe</w:t>
      </w:r>
    </w:p>
    <w:p w:rsidR="0003230A" w:rsidRPr="00AC2700" w:rsidRDefault="0003230A" w:rsidP="0003230A">
      <w:pPr>
        <w:pStyle w:val="ListParagraph"/>
        <w:numPr>
          <w:ilvl w:val="1"/>
          <w:numId w:val="6"/>
        </w:numPr>
        <w:rPr>
          <w:rFonts w:ascii="Verdana" w:hAnsi="Verdana"/>
        </w:rPr>
      </w:pPr>
      <w:r w:rsidRPr="00AC2700">
        <w:rPr>
          <w:rFonts w:ascii="Verdana" w:hAnsi="Verdana"/>
        </w:rPr>
        <w:t xml:space="preserve">Ampicillin 1g IV q6h + Gentamicin or Tobramycin 4-7mg/kg IV q24h </w:t>
      </w:r>
    </w:p>
    <w:p w:rsidR="00E077E7" w:rsidRPr="00AC2700" w:rsidRDefault="00E077E7" w:rsidP="00ED3485">
      <w:pPr>
        <w:pStyle w:val="ListParagraph"/>
        <w:numPr>
          <w:ilvl w:val="0"/>
          <w:numId w:val="6"/>
        </w:numPr>
        <w:rPr>
          <w:rFonts w:ascii="Verdana" w:hAnsi="Verdana"/>
        </w:rPr>
      </w:pPr>
      <w:r w:rsidRPr="00AC2700">
        <w:rPr>
          <w:rFonts w:ascii="Verdana" w:hAnsi="Verdana"/>
        </w:rPr>
        <w:t>Second line for severe</w:t>
      </w:r>
    </w:p>
    <w:p w:rsidR="0003230A" w:rsidRPr="00AC2700" w:rsidRDefault="0003230A" w:rsidP="0003230A">
      <w:pPr>
        <w:pStyle w:val="ListParagraph"/>
        <w:numPr>
          <w:ilvl w:val="1"/>
          <w:numId w:val="6"/>
        </w:numPr>
        <w:rPr>
          <w:rFonts w:ascii="Verdana" w:hAnsi="Verdana"/>
        </w:rPr>
      </w:pPr>
      <w:r w:rsidRPr="00AC2700">
        <w:rPr>
          <w:rFonts w:ascii="Verdana" w:hAnsi="Verdana"/>
        </w:rPr>
        <w:t>Cefotaxime 1-2g IV q12h</w:t>
      </w:r>
    </w:p>
    <w:p w:rsidR="0003230A" w:rsidRPr="00AC2700" w:rsidRDefault="0003230A" w:rsidP="0003230A">
      <w:pPr>
        <w:pStyle w:val="ListParagraph"/>
        <w:numPr>
          <w:ilvl w:val="1"/>
          <w:numId w:val="6"/>
        </w:numPr>
        <w:rPr>
          <w:rFonts w:ascii="Verdana" w:hAnsi="Verdana"/>
        </w:rPr>
      </w:pPr>
      <w:r w:rsidRPr="00AC2700">
        <w:rPr>
          <w:rFonts w:ascii="Verdana" w:hAnsi="Verdana"/>
        </w:rPr>
        <w:t>Ceftriaxone 1-2g IV q24h</w:t>
      </w:r>
    </w:p>
    <w:p w:rsidR="0003230A" w:rsidRPr="00AC2700" w:rsidRDefault="0003230A" w:rsidP="0003230A">
      <w:pPr>
        <w:pStyle w:val="ListParagraph"/>
        <w:numPr>
          <w:ilvl w:val="1"/>
          <w:numId w:val="6"/>
        </w:numPr>
        <w:rPr>
          <w:rFonts w:ascii="Verdana" w:hAnsi="Verdana"/>
        </w:rPr>
      </w:pPr>
      <w:r w:rsidRPr="00AC2700">
        <w:rPr>
          <w:rFonts w:ascii="Verdana" w:hAnsi="Verdana"/>
        </w:rPr>
        <w:t>Ciprofloxacin 200-400mg IV q12h</w:t>
      </w:r>
    </w:p>
    <w:p w:rsidR="0003230A" w:rsidRPr="00AC2700" w:rsidRDefault="0003230A" w:rsidP="0003230A">
      <w:pPr>
        <w:pStyle w:val="ListParagraph"/>
        <w:numPr>
          <w:ilvl w:val="1"/>
          <w:numId w:val="6"/>
        </w:numPr>
        <w:rPr>
          <w:rFonts w:ascii="Verdana" w:hAnsi="Verdana"/>
        </w:rPr>
      </w:pPr>
      <w:r w:rsidRPr="00AC2700">
        <w:rPr>
          <w:rFonts w:ascii="Verdana" w:hAnsi="Verdana"/>
        </w:rPr>
        <w:t>Levofloxacin 250mg IV q24h</w:t>
      </w:r>
    </w:p>
    <w:p w:rsidR="0003230A" w:rsidRPr="00AC2700" w:rsidRDefault="0003230A" w:rsidP="0003230A">
      <w:pPr>
        <w:pStyle w:val="ListParagraph"/>
        <w:numPr>
          <w:ilvl w:val="1"/>
          <w:numId w:val="6"/>
        </w:numPr>
        <w:rPr>
          <w:rFonts w:ascii="Verdana" w:hAnsi="Verdana"/>
        </w:rPr>
      </w:pPr>
      <w:r w:rsidRPr="00AC2700">
        <w:rPr>
          <w:rFonts w:ascii="Verdana" w:hAnsi="Verdana"/>
        </w:rPr>
        <w:t>Pip/Tazo 3g/0.375g IV q6h</w:t>
      </w:r>
    </w:p>
    <w:p w:rsidR="00E077E7" w:rsidRPr="00AC2700" w:rsidRDefault="00E077E7" w:rsidP="00ED3485">
      <w:pPr>
        <w:pStyle w:val="ListParagraph"/>
        <w:numPr>
          <w:ilvl w:val="0"/>
          <w:numId w:val="6"/>
        </w:numPr>
        <w:rPr>
          <w:rFonts w:ascii="Verdana" w:hAnsi="Verdana"/>
        </w:rPr>
      </w:pPr>
      <w:r w:rsidRPr="00AC2700">
        <w:rPr>
          <w:rFonts w:ascii="Verdana" w:hAnsi="Verdana"/>
        </w:rPr>
        <w:t>Third line for severe</w:t>
      </w:r>
    </w:p>
    <w:p w:rsidR="0003230A" w:rsidRPr="00AC2700" w:rsidRDefault="0003230A" w:rsidP="0003230A">
      <w:pPr>
        <w:pStyle w:val="ListParagraph"/>
        <w:numPr>
          <w:ilvl w:val="1"/>
          <w:numId w:val="6"/>
        </w:numPr>
        <w:rPr>
          <w:rFonts w:ascii="Verdana" w:hAnsi="Verdana"/>
        </w:rPr>
      </w:pPr>
      <w:r w:rsidRPr="00AC2700">
        <w:rPr>
          <w:rFonts w:ascii="Verdana" w:hAnsi="Verdana"/>
        </w:rPr>
        <w:t>Imipenem 500mg IV q6h</w:t>
      </w:r>
    </w:p>
    <w:p w:rsidR="0003230A" w:rsidRPr="00AC2700" w:rsidRDefault="0003230A" w:rsidP="0003230A">
      <w:pPr>
        <w:pStyle w:val="ListParagraph"/>
        <w:numPr>
          <w:ilvl w:val="1"/>
          <w:numId w:val="6"/>
        </w:numPr>
        <w:rPr>
          <w:rFonts w:ascii="Verdana" w:hAnsi="Verdana"/>
        </w:rPr>
      </w:pPr>
      <w:r w:rsidRPr="00AC2700">
        <w:rPr>
          <w:rFonts w:ascii="Verdana" w:hAnsi="Verdana"/>
        </w:rPr>
        <w:t>Meropenem 500-1000mg q8h</w:t>
      </w:r>
    </w:p>
    <w:p w:rsidR="0013139E" w:rsidRPr="00AC2700" w:rsidRDefault="0013139E" w:rsidP="0013139E">
      <w:pPr>
        <w:rPr>
          <w:rFonts w:ascii="Verdana" w:hAnsi="Verdana"/>
          <w:u w:val="single"/>
        </w:rPr>
      </w:pPr>
      <w:r w:rsidRPr="00AC2700">
        <w:rPr>
          <w:rFonts w:ascii="Verdana" w:hAnsi="Verdana"/>
          <w:u w:val="single"/>
        </w:rPr>
        <w:t>Treatment in Pregnancy</w:t>
      </w:r>
    </w:p>
    <w:p w:rsidR="00636F1D" w:rsidRPr="00AC2700" w:rsidRDefault="00636F1D" w:rsidP="00E61EAA">
      <w:pPr>
        <w:pStyle w:val="ListParagraph"/>
        <w:numPr>
          <w:ilvl w:val="0"/>
          <w:numId w:val="6"/>
        </w:numPr>
        <w:rPr>
          <w:rFonts w:ascii="Verdana" w:hAnsi="Verdana"/>
        </w:rPr>
      </w:pPr>
      <w:r w:rsidRPr="00AC2700">
        <w:rPr>
          <w:rFonts w:ascii="Verdana" w:hAnsi="Verdana"/>
        </w:rPr>
        <w:t>Aways do f/u urine C&amp;S after treatment</w:t>
      </w:r>
    </w:p>
    <w:p w:rsidR="00E61EAA" w:rsidRPr="00AC2700" w:rsidRDefault="00E61EAA" w:rsidP="00E61EAA">
      <w:pPr>
        <w:pStyle w:val="ListParagraph"/>
        <w:numPr>
          <w:ilvl w:val="0"/>
          <w:numId w:val="6"/>
        </w:numPr>
        <w:rPr>
          <w:rFonts w:ascii="Verdana" w:hAnsi="Verdana"/>
          <w:u w:val="single"/>
        </w:rPr>
      </w:pPr>
      <w:r w:rsidRPr="00AC2700">
        <w:rPr>
          <w:rFonts w:ascii="Verdana" w:hAnsi="Verdana"/>
        </w:rPr>
        <w:t>Acute Cystitis</w:t>
      </w:r>
    </w:p>
    <w:p w:rsidR="00E61EAA" w:rsidRPr="00AC2700" w:rsidRDefault="00E61EAA" w:rsidP="00E61EAA">
      <w:pPr>
        <w:pStyle w:val="ListParagraph"/>
        <w:numPr>
          <w:ilvl w:val="1"/>
          <w:numId w:val="6"/>
        </w:numPr>
        <w:rPr>
          <w:rFonts w:ascii="Verdana" w:hAnsi="Verdana"/>
          <w:u w:val="single"/>
        </w:rPr>
      </w:pPr>
      <w:r w:rsidRPr="00AC2700">
        <w:rPr>
          <w:rFonts w:ascii="Verdana" w:hAnsi="Verdana"/>
        </w:rPr>
        <w:t>Cephalexin 250-500mg QID x 7 days</w:t>
      </w:r>
    </w:p>
    <w:p w:rsidR="00E61EAA" w:rsidRPr="00AC2700" w:rsidRDefault="00E61EAA" w:rsidP="00E61EAA">
      <w:pPr>
        <w:pStyle w:val="ListParagraph"/>
        <w:numPr>
          <w:ilvl w:val="1"/>
          <w:numId w:val="6"/>
        </w:numPr>
        <w:rPr>
          <w:rFonts w:ascii="Verdana" w:hAnsi="Verdana"/>
          <w:u w:val="single"/>
        </w:rPr>
      </w:pPr>
      <w:r w:rsidRPr="00AC2700">
        <w:rPr>
          <w:rFonts w:ascii="Verdana" w:hAnsi="Verdana"/>
        </w:rPr>
        <w:t>Amoxicillin 500mg TID x 7 days (there high E. coli resistance to this and so use after C&amp;S confirmation)</w:t>
      </w:r>
    </w:p>
    <w:p w:rsidR="00E61EAA" w:rsidRPr="00AC2700" w:rsidRDefault="00E61EAA" w:rsidP="00E61EAA">
      <w:pPr>
        <w:pStyle w:val="ListParagraph"/>
        <w:numPr>
          <w:ilvl w:val="1"/>
          <w:numId w:val="6"/>
        </w:numPr>
        <w:rPr>
          <w:rFonts w:ascii="Verdana" w:hAnsi="Verdana"/>
          <w:u w:val="single"/>
        </w:rPr>
      </w:pPr>
      <w:r w:rsidRPr="00AC2700">
        <w:rPr>
          <w:rFonts w:ascii="Verdana" w:hAnsi="Verdana"/>
        </w:rPr>
        <w:t>Nitrofurantoin 50-100mg QID or Macrobid 100mg BID x 5 days</w:t>
      </w:r>
    </w:p>
    <w:p w:rsidR="00E61EAA" w:rsidRPr="00AC2700" w:rsidRDefault="00E61EAA" w:rsidP="00E61EAA">
      <w:pPr>
        <w:pStyle w:val="ListParagraph"/>
        <w:numPr>
          <w:ilvl w:val="2"/>
          <w:numId w:val="6"/>
        </w:numPr>
        <w:rPr>
          <w:rFonts w:ascii="Verdana" w:hAnsi="Verdana"/>
          <w:u w:val="single"/>
        </w:rPr>
      </w:pPr>
      <w:r w:rsidRPr="00AC2700">
        <w:rPr>
          <w:rFonts w:ascii="Verdana" w:hAnsi="Verdana"/>
        </w:rPr>
        <w:t xml:space="preserve">** This is contraindicated in pregnant patients at term (36-42), during labour and in neonates due to the possibility of hemolytic anemia. </w:t>
      </w:r>
    </w:p>
    <w:p w:rsidR="00E61EAA" w:rsidRPr="00AC2700" w:rsidRDefault="00E61EAA" w:rsidP="00E61EAA">
      <w:pPr>
        <w:pStyle w:val="ListParagraph"/>
        <w:numPr>
          <w:ilvl w:val="1"/>
          <w:numId w:val="6"/>
        </w:numPr>
        <w:rPr>
          <w:rFonts w:ascii="Verdana" w:hAnsi="Verdana"/>
          <w:u w:val="single"/>
        </w:rPr>
      </w:pPr>
      <w:r w:rsidRPr="00AC2700">
        <w:rPr>
          <w:rFonts w:ascii="Verdana" w:hAnsi="Verdana"/>
        </w:rPr>
        <w:t>Second line Options</w:t>
      </w:r>
    </w:p>
    <w:p w:rsidR="00636F1D" w:rsidRPr="00AC2700" w:rsidRDefault="00636F1D" w:rsidP="00636F1D">
      <w:pPr>
        <w:pStyle w:val="ListParagraph"/>
        <w:numPr>
          <w:ilvl w:val="2"/>
          <w:numId w:val="6"/>
        </w:numPr>
        <w:rPr>
          <w:rFonts w:ascii="Verdana" w:hAnsi="Verdana"/>
          <w:u w:val="single"/>
        </w:rPr>
      </w:pPr>
      <w:r w:rsidRPr="00AC2700">
        <w:rPr>
          <w:rFonts w:ascii="Verdana" w:hAnsi="Verdana"/>
        </w:rPr>
        <w:t>TMP/SMX 2 tabs BID or 1 DS tab BID x 3 days</w:t>
      </w:r>
    </w:p>
    <w:p w:rsidR="00636F1D" w:rsidRPr="00AC2700" w:rsidRDefault="00636F1D" w:rsidP="00636F1D">
      <w:pPr>
        <w:pStyle w:val="ListParagraph"/>
        <w:numPr>
          <w:ilvl w:val="2"/>
          <w:numId w:val="6"/>
        </w:numPr>
        <w:rPr>
          <w:rFonts w:ascii="Verdana" w:hAnsi="Verdana"/>
          <w:u w:val="single"/>
        </w:rPr>
      </w:pPr>
      <w:r w:rsidRPr="00AC2700">
        <w:rPr>
          <w:rFonts w:ascii="Verdana" w:hAnsi="Verdana"/>
        </w:rPr>
        <w:t>Trimethoprim 100mg BID or 200mg qdaily x 3days</w:t>
      </w:r>
    </w:p>
    <w:p w:rsidR="00636F1D" w:rsidRPr="00AC2700" w:rsidRDefault="00636F1D" w:rsidP="00636F1D">
      <w:pPr>
        <w:pStyle w:val="ListParagraph"/>
        <w:numPr>
          <w:ilvl w:val="2"/>
          <w:numId w:val="6"/>
        </w:numPr>
        <w:rPr>
          <w:rFonts w:ascii="Verdana" w:hAnsi="Verdana"/>
          <w:u w:val="single"/>
        </w:rPr>
      </w:pPr>
      <w:r w:rsidRPr="00AC2700">
        <w:rPr>
          <w:rFonts w:ascii="Verdana" w:hAnsi="Verdana"/>
        </w:rPr>
        <w:t>** Avoid use of these antibiotics during the 1</w:t>
      </w:r>
      <w:r w:rsidRPr="00AC2700">
        <w:rPr>
          <w:rFonts w:ascii="Verdana" w:hAnsi="Verdana"/>
          <w:vertAlign w:val="superscript"/>
        </w:rPr>
        <w:t>st</w:t>
      </w:r>
      <w:r w:rsidRPr="00AC2700">
        <w:rPr>
          <w:rFonts w:ascii="Verdana" w:hAnsi="Verdana"/>
        </w:rPr>
        <w:t xml:space="preserve"> trimester because of concerns that trimethoprim may limit the availability of folic acid and lead to fetal abnormalities. </w:t>
      </w:r>
    </w:p>
    <w:p w:rsidR="00636F1D" w:rsidRPr="00AC2700" w:rsidRDefault="00636F1D" w:rsidP="00636F1D">
      <w:pPr>
        <w:pStyle w:val="ListParagraph"/>
        <w:numPr>
          <w:ilvl w:val="2"/>
          <w:numId w:val="6"/>
        </w:numPr>
        <w:rPr>
          <w:rFonts w:ascii="Verdana" w:hAnsi="Verdana"/>
          <w:u w:val="single"/>
        </w:rPr>
      </w:pPr>
      <w:r w:rsidRPr="00AC2700">
        <w:rPr>
          <w:rFonts w:ascii="Verdana" w:hAnsi="Verdana"/>
        </w:rPr>
        <w:t xml:space="preserve">**Avoid TMP/SMX during the last 6 weeks of pregnancy as sulfonamides may displace bilirubin from albumin bidning sites causing kernicterus in infants. </w:t>
      </w:r>
    </w:p>
    <w:p w:rsidR="00E61EAA" w:rsidRPr="00AC2700" w:rsidRDefault="00E61EAA" w:rsidP="00E61EAA">
      <w:pPr>
        <w:pStyle w:val="ListParagraph"/>
        <w:numPr>
          <w:ilvl w:val="0"/>
          <w:numId w:val="6"/>
        </w:numPr>
        <w:rPr>
          <w:rFonts w:ascii="Verdana" w:hAnsi="Verdana"/>
          <w:u w:val="single"/>
        </w:rPr>
      </w:pPr>
      <w:r w:rsidRPr="00AC2700">
        <w:rPr>
          <w:rFonts w:ascii="Verdana" w:hAnsi="Verdana"/>
        </w:rPr>
        <w:t>Pyelonephritis</w:t>
      </w:r>
      <w:r w:rsidR="00B80A9B" w:rsidRPr="00AC2700">
        <w:rPr>
          <w:rFonts w:ascii="Verdana" w:hAnsi="Verdana"/>
        </w:rPr>
        <w:t xml:space="preserve"> in pregnancy</w:t>
      </w:r>
    </w:p>
    <w:p w:rsidR="00B80A9B" w:rsidRPr="00AC2700" w:rsidRDefault="00B80A9B" w:rsidP="00B80A9B">
      <w:pPr>
        <w:pStyle w:val="ListParagraph"/>
        <w:numPr>
          <w:ilvl w:val="1"/>
          <w:numId w:val="6"/>
        </w:numPr>
        <w:rPr>
          <w:rFonts w:ascii="Verdana" w:hAnsi="Verdana"/>
        </w:rPr>
      </w:pPr>
      <w:r w:rsidRPr="00AC2700">
        <w:rPr>
          <w:rFonts w:ascii="Verdana" w:hAnsi="Verdana"/>
        </w:rPr>
        <w:t>Ceftriaxone 1-2g q24h</w:t>
      </w:r>
      <w:r w:rsidR="00A916C4">
        <w:rPr>
          <w:rFonts w:ascii="Verdana" w:hAnsi="Verdana"/>
        </w:rPr>
        <w:t xml:space="preserve"> x 10-14 days</w:t>
      </w:r>
    </w:p>
    <w:p w:rsidR="0013139E" w:rsidRPr="00AC2700" w:rsidRDefault="0013139E" w:rsidP="00390F02">
      <w:pPr>
        <w:spacing w:after="0" w:line="240" w:lineRule="auto"/>
        <w:rPr>
          <w:rFonts w:ascii="Verdana" w:hAnsi="Verdana"/>
          <w:u w:val="single"/>
        </w:rPr>
      </w:pPr>
      <w:r w:rsidRPr="00AC2700">
        <w:rPr>
          <w:rFonts w:ascii="Verdana" w:hAnsi="Verdana"/>
          <w:u w:val="single"/>
        </w:rPr>
        <w:t>Treatment for Pyelonephritis, Urosepsis</w:t>
      </w:r>
    </w:p>
    <w:p w:rsidR="00390F02" w:rsidRPr="00AC2700" w:rsidRDefault="00390F02" w:rsidP="00390F02">
      <w:pPr>
        <w:pStyle w:val="ListParagraph"/>
        <w:numPr>
          <w:ilvl w:val="0"/>
          <w:numId w:val="5"/>
        </w:numPr>
        <w:spacing w:after="0" w:line="240" w:lineRule="auto"/>
        <w:rPr>
          <w:rFonts w:ascii="Verdana" w:hAnsi="Verdana"/>
          <w:u w:val="single"/>
        </w:rPr>
      </w:pPr>
      <w:r w:rsidRPr="00AC2700">
        <w:rPr>
          <w:rFonts w:ascii="Verdana" w:hAnsi="Verdana"/>
        </w:rPr>
        <w:t xml:space="preserve">Start empiric therapy after Blood and urine cultures have been taken. </w:t>
      </w:r>
    </w:p>
    <w:p w:rsidR="00390F02" w:rsidRPr="00AC2700" w:rsidRDefault="00390F02" w:rsidP="00390F02">
      <w:pPr>
        <w:pStyle w:val="ListParagraph"/>
        <w:numPr>
          <w:ilvl w:val="0"/>
          <w:numId w:val="5"/>
        </w:numPr>
        <w:spacing w:after="0" w:line="240" w:lineRule="auto"/>
        <w:rPr>
          <w:rFonts w:ascii="Verdana" w:hAnsi="Verdana"/>
          <w:u w:val="single"/>
        </w:rPr>
      </w:pPr>
      <w:r w:rsidRPr="00AC2700">
        <w:rPr>
          <w:rFonts w:ascii="Verdana" w:hAnsi="Verdana"/>
        </w:rPr>
        <w:t xml:space="preserve">These patients need admission to hospital and parenteral antibiotics. </w:t>
      </w:r>
    </w:p>
    <w:p w:rsidR="00390F02" w:rsidRPr="00AC2700" w:rsidRDefault="00390F02" w:rsidP="00390F02">
      <w:pPr>
        <w:pStyle w:val="ListParagraph"/>
        <w:numPr>
          <w:ilvl w:val="0"/>
          <w:numId w:val="5"/>
        </w:numPr>
        <w:spacing w:after="0" w:line="240" w:lineRule="auto"/>
        <w:rPr>
          <w:rFonts w:ascii="Verdana" w:hAnsi="Verdana"/>
          <w:u w:val="single"/>
        </w:rPr>
      </w:pPr>
      <w:r w:rsidRPr="00AC2700">
        <w:rPr>
          <w:rFonts w:ascii="Verdana" w:hAnsi="Verdana"/>
        </w:rPr>
        <w:t xml:space="preserve">IV fluids, and broad spectrum antibiotics to cover for pseudomonas species and other resistant gram negative rods. </w:t>
      </w:r>
    </w:p>
    <w:p w:rsidR="00390F02" w:rsidRPr="00AC2700" w:rsidRDefault="00390F02" w:rsidP="00390F02">
      <w:pPr>
        <w:pStyle w:val="ListParagraph"/>
        <w:numPr>
          <w:ilvl w:val="0"/>
          <w:numId w:val="5"/>
        </w:numPr>
        <w:spacing w:after="0" w:line="240" w:lineRule="auto"/>
        <w:rPr>
          <w:rFonts w:ascii="Verdana" w:hAnsi="Verdana"/>
          <w:u w:val="single"/>
        </w:rPr>
      </w:pPr>
      <w:r w:rsidRPr="00AC2700">
        <w:rPr>
          <w:rFonts w:ascii="Verdana" w:hAnsi="Verdana"/>
        </w:rPr>
        <w:lastRenderedPageBreak/>
        <w:t>Enterobacteriaceae (Family of Gram negative bacteria that includes pathogens such as Salmonella, Escherichia coli, Yersinia pestis, Klebsiella and Shigella) account for 90% of cases</w:t>
      </w:r>
    </w:p>
    <w:p w:rsidR="000E0624" w:rsidRPr="00AC2700" w:rsidRDefault="00F82990" w:rsidP="00390F02">
      <w:pPr>
        <w:pStyle w:val="ListParagraph"/>
        <w:numPr>
          <w:ilvl w:val="0"/>
          <w:numId w:val="5"/>
        </w:numPr>
        <w:spacing w:after="0" w:line="240" w:lineRule="auto"/>
        <w:rPr>
          <w:rFonts w:ascii="Verdana" w:hAnsi="Verdana"/>
          <w:u w:val="single"/>
        </w:rPr>
      </w:pPr>
      <w:r w:rsidRPr="00AC2700">
        <w:rPr>
          <w:rFonts w:ascii="Verdana" w:hAnsi="Verdana"/>
        </w:rPr>
        <w:t>Treatment choices</w:t>
      </w:r>
    </w:p>
    <w:p w:rsidR="00F82990" w:rsidRPr="00AC2700" w:rsidRDefault="00F82990" w:rsidP="00F82990">
      <w:pPr>
        <w:pStyle w:val="ListParagraph"/>
        <w:numPr>
          <w:ilvl w:val="1"/>
          <w:numId w:val="5"/>
        </w:numPr>
        <w:spacing w:after="0" w:line="240" w:lineRule="auto"/>
        <w:rPr>
          <w:rFonts w:ascii="Verdana" w:hAnsi="Verdana"/>
          <w:u w:val="single"/>
        </w:rPr>
      </w:pPr>
      <w:r w:rsidRPr="00AC2700">
        <w:rPr>
          <w:rFonts w:ascii="Verdana" w:hAnsi="Verdana"/>
        </w:rPr>
        <w:t>Ciprofloxacin 500mg PO BID or 400mg IV q12h x 10-14 days</w:t>
      </w:r>
    </w:p>
    <w:p w:rsidR="00F82990" w:rsidRPr="00AC2700" w:rsidRDefault="00F82990" w:rsidP="00F82990">
      <w:pPr>
        <w:pStyle w:val="ListParagraph"/>
        <w:numPr>
          <w:ilvl w:val="1"/>
          <w:numId w:val="5"/>
        </w:numPr>
        <w:spacing w:after="0" w:line="240" w:lineRule="auto"/>
        <w:rPr>
          <w:rFonts w:ascii="Verdana" w:hAnsi="Verdana"/>
          <w:u w:val="single"/>
        </w:rPr>
      </w:pPr>
      <w:r w:rsidRPr="00AC2700">
        <w:rPr>
          <w:rFonts w:ascii="Verdana" w:hAnsi="Verdana"/>
        </w:rPr>
        <w:t xml:space="preserve">Levofloxacin 500mg PO qdaily x 10 days OR 750mg PO qdaily x 5 days (for uncomplicated cases) OR Levofloxacin 250-500mg IV q24 x 10 days for severe cases. </w:t>
      </w:r>
    </w:p>
    <w:p w:rsidR="00F82990" w:rsidRPr="00AC2700" w:rsidRDefault="00F82990" w:rsidP="00F82990">
      <w:pPr>
        <w:pStyle w:val="ListParagraph"/>
        <w:numPr>
          <w:ilvl w:val="1"/>
          <w:numId w:val="5"/>
        </w:numPr>
        <w:spacing w:after="0" w:line="240" w:lineRule="auto"/>
        <w:rPr>
          <w:rFonts w:ascii="Verdana" w:hAnsi="Verdana"/>
          <w:u w:val="single"/>
        </w:rPr>
      </w:pPr>
      <w:r w:rsidRPr="00AC2700">
        <w:rPr>
          <w:rFonts w:ascii="Verdana" w:hAnsi="Verdana"/>
        </w:rPr>
        <w:t>Gentamicin 4-7mg/kg IV q24h +/- Ampicillin 1-2g IV q4-6h x 10-14 days for severe cases</w:t>
      </w:r>
    </w:p>
    <w:p w:rsidR="00390F02" w:rsidRPr="00AC2700" w:rsidRDefault="00F82990" w:rsidP="0013139E">
      <w:pPr>
        <w:pStyle w:val="ListParagraph"/>
        <w:numPr>
          <w:ilvl w:val="1"/>
          <w:numId w:val="5"/>
        </w:numPr>
        <w:spacing w:after="0" w:line="240" w:lineRule="auto"/>
        <w:rPr>
          <w:rFonts w:ascii="Verdana" w:hAnsi="Verdana"/>
          <w:u w:val="single"/>
        </w:rPr>
      </w:pPr>
      <w:r w:rsidRPr="00AC2700">
        <w:rPr>
          <w:rFonts w:ascii="Verdana" w:hAnsi="Verdana"/>
        </w:rPr>
        <w:t>Cefotaxime 1-2g IV q12h</w:t>
      </w:r>
      <w:r w:rsidR="00443BE1" w:rsidRPr="00AC2700">
        <w:rPr>
          <w:rFonts w:ascii="Verdana" w:hAnsi="Verdana"/>
        </w:rPr>
        <w:t xml:space="preserve"> x 10-14 days for severe cases</w:t>
      </w:r>
    </w:p>
    <w:p w:rsidR="00C82FA5" w:rsidRPr="00AC2700" w:rsidRDefault="00C82FA5" w:rsidP="00C82FA5">
      <w:pPr>
        <w:pStyle w:val="Style1"/>
        <w:numPr>
          <w:ilvl w:val="0"/>
          <w:numId w:val="2"/>
        </w:numPr>
        <w:spacing w:before="240" w:after="60"/>
        <w:ind w:right="132"/>
        <w:rPr>
          <w:rFonts w:ascii="Verdana" w:hAnsi="Verdana"/>
          <w:color w:val="000000"/>
          <w:sz w:val="22"/>
          <w:szCs w:val="22"/>
        </w:rPr>
      </w:pPr>
      <w:r w:rsidRPr="00AC2700">
        <w:rPr>
          <w:rFonts w:ascii="Verdana" w:hAnsi="Verdana"/>
          <w:color w:val="000000"/>
          <w:sz w:val="22"/>
          <w:szCs w:val="22"/>
        </w:rPr>
        <w:t xml:space="preserve">Given a non-specific history (e.g., abdominal pain, fever, delirium) in elderly or very young patients, suspect the diagnosis and do an appropriate work-up. </w:t>
      </w:r>
    </w:p>
    <w:p w:rsidR="00C82FA5" w:rsidRPr="00AC2700" w:rsidRDefault="00C82FA5" w:rsidP="00C82FA5">
      <w:pPr>
        <w:pStyle w:val="Style1"/>
        <w:numPr>
          <w:ilvl w:val="0"/>
          <w:numId w:val="2"/>
        </w:numPr>
        <w:spacing w:before="240" w:after="60"/>
        <w:ind w:right="132"/>
        <w:rPr>
          <w:rFonts w:ascii="Verdana" w:hAnsi="Verdana"/>
          <w:color w:val="000000"/>
          <w:sz w:val="22"/>
          <w:szCs w:val="22"/>
        </w:rPr>
      </w:pPr>
      <w:r w:rsidRPr="00AC2700">
        <w:rPr>
          <w:rFonts w:ascii="Verdana" w:hAnsi="Verdana"/>
          <w:color w:val="000000"/>
          <w:sz w:val="22"/>
          <w:szCs w:val="22"/>
        </w:rPr>
        <w:t xml:space="preserve"> In a patient with dysuria, exclude other causes (e.g., sexually transmitted infections, vaginitis, stones, interstitial cystitis, prostatitis) through an appropriate history, physical examination, and investigation before diagnosing a urinary tract infection. </w:t>
      </w:r>
    </w:p>
    <w:p w:rsidR="00AD34A7" w:rsidRPr="00AC2700" w:rsidRDefault="00AD34A7" w:rsidP="00AD34A7">
      <w:pPr>
        <w:pStyle w:val="ListParagraph"/>
        <w:rPr>
          <w:rFonts w:ascii="Verdana" w:hAnsi="Verdana"/>
        </w:rPr>
      </w:pPr>
    </w:p>
    <w:p w:rsidR="000677BF" w:rsidRPr="00AC2700" w:rsidRDefault="000677BF" w:rsidP="000677BF">
      <w:pPr>
        <w:pStyle w:val="ListParagraph"/>
        <w:numPr>
          <w:ilvl w:val="0"/>
          <w:numId w:val="5"/>
        </w:numPr>
        <w:rPr>
          <w:rFonts w:ascii="Verdana" w:hAnsi="Verdana"/>
        </w:rPr>
      </w:pPr>
      <w:r w:rsidRPr="00AC2700">
        <w:rPr>
          <w:rFonts w:ascii="Verdana" w:hAnsi="Verdana"/>
        </w:rPr>
        <w:t xml:space="preserve">Vaginal discharge, external discomfort, absence of frequency or urgency and negative urine culture distinguishes vaginitis from UTI. Trichomonas vaginalis and Candida albicans are the most commonly responsible organisms. </w:t>
      </w:r>
    </w:p>
    <w:p w:rsidR="000677BF" w:rsidRPr="00AC2700" w:rsidRDefault="009D1906" w:rsidP="000677BF">
      <w:pPr>
        <w:pStyle w:val="ListParagraph"/>
        <w:numPr>
          <w:ilvl w:val="0"/>
          <w:numId w:val="5"/>
        </w:numPr>
        <w:rPr>
          <w:rFonts w:ascii="Verdana" w:hAnsi="Verdana"/>
        </w:rPr>
      </w:pPr>
      <w:r w:rsidRPr="00AC2700">
        <w:rPr>
          <w:rFonts w:ascii="Verdana" w:hAnsi="Verdana"/>
        </w:rPr>
        <w:t xml:space="preserve">Women with dysuria and absence of bacteria on urine culture may have urethritis caused by C. trachomatis, Neisseria gonorrhoeae or HSV. </w:t>
      </w:r>
    </w:p>
    <w:p w:rsidR="00AC2700" w:rsidRPr="00AC2700" w:rsidRDefault="00AC2700" w:rsidP="000677BF">
      <w:pPr>
        <w:pStyle w:val="ListParagraph"/>
        <w:numPr>
          <w:ilvl w:val="0"/>
          <w:numId w:val="5"/>
        </w:numPr>
        <w:rPr>
          <w:rFonts w:ascii="Verdana" w:hAnsi="Verdana"/>
        </w:rPr>
      </w:pPr>
      <w:r w:rsidRPr="00AC2700">
        <w:rPr>
          <w:rFonts w:ascii="Verdana" w:hAnsi="Verdana"/>
        </w:rPr>
        <w:t xml:space="preserve">Prostatitis: diminished urine flow and signs of bladder outflow obstruction (ex frequency, loss of stream, dribbling, hesitancy, urgency etc), dysuria, perineal pain. On rectal exam: the gland is gound to be enlarged, tender and boggy. </w:t>
      </w:r>
    </w:p>
    <w:p w:rsidR="00C82FA5" w:rsidRDefault="00445BF6" w:rsidP="00C82FA5">
      <w:pPr>
        <w:rPr>
          <w:rFonts w:ascii="Verdana" w:hAnsi="Verdana"/>
          <w:u w:val="single"/>
        </w:rPr>
      </w:pPr>
      <w:r w:rsidRPr="00445BF6">
        <w:rPr>
          <w:rFonts w:ascii="Verdana" w:hAnsi="Verdana"/>
          <w:u w:val="single"/>
        </w:rPr>
        <w:t>References</w:t>
      </w:r>
    </w:p>
    <w:p w:rsidR="00445BF6" w:rsidRPr="005B4603" w:rsidRDefault="00445BF6" w:rsidP="00445BF6">
      <w:pPr>
        <w:pStyle w:val="ListParagraph"/>
        <w:numPr>
          <w:ilvl w:val="0"/>
          <w:numId w:val="12"/>
        </w:numPr>
        <w:rPr>
          <w:rFonts w:ascii="Verdana" w:hAnsi="Verdana"/>
          <w:u w:val="single"/>
        </w:rPr>
      </w:pPr>
      <w:r>
        <w:rPr>
          <w:rFonts w:ascii="Verdana" w:hAnsi="Verdana"/>
        </w:rPr>
        <w:t>Goroll, Allan H. and Mulley, Albert G</w:t>
      </w:r>
      <w:r w:rsidR="00E74638">
        <w:rPr>
          <w:rFonts w:ascii="Verdana" w:hAnsi="Verdana"/>
        </w:rPr>
        <w:t xml:space="preserve"> Jr.</w:t>
      </w:r>
      <w:r w:rsidR="005B4603">
        <w:rPr>
          <w:rFonts w:ascii="Verdana" w:hAnsi="Verdana"/>
        </w:rPr>
        <w:t xml:space="preserve"> (2009).</w:t>
      </w:r>
      <w:r>
        <w:rPr>
          <w:rFonts w:ascii="Verdana" w:hAnsi="Verdana"/>
        </w:rPr>
        <w:t xml:space="preserve"> Primary Care Medicine Office Evaluation and Management of the Adult Patient. </w:t>
      </w:r>
      <w:r w:rsidR="005B4603">
        <w:rPr>
          <w:rFonts w:ascii="Verdana" w:hAnsi="Verdana"/>
        </w:rPr>
        <w:t>Lippincott Williams and Wilkins</w:t>
      </w:r>
    </w:p>
    <w:p w:rsidR="005B4603" w:rsidRPr="005B4603" w:rsidRDefault="005B4603" w:rsidP="00445BF6">
      <w:pPr>
        <w:pStyle w:val="ListParagraph"/>
        <w:numPr>
          <w:ilvl w:val="0"/>
          <w:numId w:val="12"/>
        </w:numPr>
        <w:rPr>
          <w:rFonts w:ascii="Verdana" w:hAnsi="Verdana"/>
          <w:u w:val="single"/>
        </w:rPr>
      </w:pPr>
      <w:r>
        <w:rPr>
          <w:rFonts w:ascii="Verdana" w:hAnsi="Verdana"/>
        </w:rPr>
        <w:t xml:space="preserve">Anti-infective Review Panel. Anti-Infective Guidelines for Community –acquired Infections. 2012 Edition. </w:t>
      </w:r>
    </w:p>
    <w:p w:rsidR="005B4603" w:rsidRPr="00445BF6" w:rsidRDefault="005B4603" w:rsidP="00445BF6">
      <w:pPr>
        <w:pStyle w:val="ListParagraph"/>
        <w:numPr>
          <w:ilvl w:val="0"/>
          <w:numId w:val="12"/>
        </w:numPr>
        <w:rPr>
          <w:rFonts w:ascii="Verdana" w:hAnsi="Verdana"/>
          <w:u w:val="single"/>
        </w:rPr>
      </w:pPr>
      <w:r>
        <w:rPr>
          <w:rFonts w:ascii="Verdana" w:hAnsi="Verdana"/>
        </w:rPr>
        <w:t>Uptodate.com</w:t>
      </w:r>
    </w:p>
    <w:sectPr w:rsidR="005B4603" w:rsidRPr="00445BF6" w:rsidSect="00246A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35FF"/>
    <w:multiLevelType w:val="multilevel"/>
    <w:tmpl w:val="6A4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B7987"/>
    <w:multiLevelType w:val="hybridMultilevel"/>
    <w:tmpl w:val="CA6AD5C4"/>
    <w:lvl w:ilvl="0" w:tplc="84EA77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4432EC"/>
    <w:multiLevelType w:val="hybridMultilevel"/>
    <w:tmpl w:val="7C9263EE"/>
    <w:lvl w:ilvl="0" w:tplc="FFB447EA">
      <w:start w:val="1"/>
      <w:numFmt w:val="bullet"/>
      <w:lvlText w:val=""/>
      <w:lvlJc w:val="left"/>
      <w:pPr>
        <w:tabs>
          <w:tab w:val="num" w:pos="720"/>
        </w:tabs>
        <w:ind w:left="720" w:hanging="360"/>
      </w:pPr>
      <w:rPr>
        <w:rFonts w:ascii="Wingdings 2" w:hAnsi="Wingdings 2" w:hint="default"/>
      </w:rPr>
    </w:lvl>
    <w:lvl w:ilvl="1" w:tplc="59A44870">
      <w:start w:val="1"/>
      <w:numFmt w:val="bullet"/>
      <w:lvlText w:val=""/>
      <w:lvlJc w:val="left"/>
      <w:pPr>
        <w:tabs>
          <w:tab w:val="num" w:pos="1440"/>
        </w:tabs>
        <w:ind w:left="1440" w:hanging="360"/>
      </w:pPr>
      <w:rPr>
        <w:rFonts w:ascii="Wingdings 2" w:hAnsi="Wingdings 2" w:hint="default"/>
      </w:rPr>
    </w:lvl>
    <w:lvl w:ilvl="2" w:tplc="83A28384" w:tentative="1">
      <w:start w:val="1"/>
      <w:numFmt w:val="bullet"/>
      <w:lvlText w:val=""/>
      <w:lvlJc w:val="left"/>
      <w:pPr>
        <w:tabs>
          <w:tab w:val="num" w:pos="2160"/>
        </w:tabs>
        <w:ind w:left="2160" w:hanging="360"/>
      </w:pPr>
      <w:rPr>
        <w:rFonts w:ascii="Wingdings 2" w:hAnsi="Wingdings 2" w:hint="default"/>
      </w:rPr>
    </w:lvl>
    <w:lvl w:ilvl="3" w:tplc="D82A473A" w:tentative="1">
      <w:start w:val="1"/>
      <w:numFmt w:val="bullet"/>
      <w:lvlText w:val=""/>
      <w:lvlJc w:val="left"/>
      <w:pPr>
        <w:tabs>
          <w:tab w:val="num" w:pos="2880"/>
        </w:tabs>
        <w:ind w:left="2880" w:hanging="360"/>
      </w:pPr>
      <w:rPr>
        <w:rFonts w:ascii="Wingdings 2" w:hAnsi="Wingdings 2" w:hint="default"/>
      </w:rPr>
    </w:lvl>
    <w:lvl w:ilvl="4" w:tplc="F06A9C68" w:tentative="1">
      <w:start w:val="1"/>
      <w:numFmt w:val="bullet"/>
      <w:lvlText w:val=""/>
      <w:lvlJc w:val="left"/>
      <w:pPr>
        <w:tabs>
          <w:tab w:val="num" w:pos="3600"/>
        </w:tabs>
        <w:ind w:left="3600" w:hanging="360"/>
      </w:pPr>
      <w:rPr>
        <w:rFonts w:ascii="Wingdings 2" w:hAnsi="Wingdings 2" w:hint="default"/>
      </w:rPr>
    </w:lvl>
    <w:lvl w:ilvl="5" w:tplc="AF5A8FD0" w:tentative="1">
      <w:start w:val="1"/>
      <w:numFmt w:val="bullet"/>
      <w:lvlText w:val=""/>
      <w:lvlJc w:val="left"/>
      <w:pPr>
        <w:tabs>
          <w:tab w:val="num" w:pos="4320"/>
        </w:tabs>
        <w:ind w:left="4320" w:hanging="360"/>
      </w:pPr>
      <w:rPr>
        <w:rFonts w:ascii="Wingdings 2" w:hAnsi="Wingdings 2" w:hint="default"/>
      </w:rPr>
    </w:lvl>
    <w:lvl w:ilvl="6" w:tplc="98405CA2" w:tentative="1">
      <w:start w:val="1"/>
      <w:numFmt w:val="bullet"/>
      <w:lvlText w:val=""/>
      <w:lvlJc w:val="left"/>
      <w:pPr>
        <w:tabs>
          <w:tab w:val="num" w:pos="5040"/>
        </w:tabs>
        <w:ind w:left="5040" w:hanging="360"/>
      </w:pPr>
      <w:rPr>
        <w:rFonts w:ascii="Wingdings 2" w:hAnsi="Wingdings 2" w:hint="default"/>
      </w:rPr>
    </w:lvl>
    <w:lvl w:ilvl="7" w:tplc="4DC01398" w:tentative="1">
      <w:start w:val="1"/>
      <w:numFmt w:val="bullet"/>
      <w:lvlText w:val=""/>
      <w:lvlJc w:val="left"/>
      <w:pPr>
        <w:tabs>
          <w:tab w:val="num" w:pos="5760"/>
        </w:tabs>
        <w:ind w:left="5760" w:hanging="360"/>
      </w:pPr>
      <w:rPr>
        <w:rFonts w:ascii="Wingdings 2" w:hAnsi="Wingdings 2" w:hint="default"/>
      </w:rPr>
    </w:lvl>
    <w:lvl w:ilvl="8" w:tplc="EE443A96" w:tentative="1">
      <w:start w:val="1"/>
      <w:numFmt w:val="bullet"/>
      <w:lvlText w:val=""/>
      <w:lvlJc w:val="left"/>
      <w:pPr>
        <w:tabs>
          <w:tab w:val="num" w:pos="6480"/>
        </w:tabs>
        <w:ind w:left="6480" w:hanging="360"/>
      </w:pPr>
      <w:rPr>
        <w:rFonts w:ascii="Wingdings 2" w:hAnsi="Wingdings 2" w:hint="default"/>
      </w:rPr>
    </w:lvl>
  </w:abstractNum>
  <w:abstractNum w:abstractNumId="3">
    <w:nsid w:val="28EA58E8"/>
    <w:multiLevelType w:val="multilevel"/>
    <w:tmpl w:val="2112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E1685"/>
    <w:multiLevelType w:val="hybridMultilevel"/>
    <w:tmpl w:val="459CC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D12E5"/>
    <w:multiLevelType w:val="hybridMultilevel"/>
    <w:tmpl w:val="8032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72554"/>
    <w:multiLevelType w:val="hybridMultilevel"/>
    <w:tmpl w:val="0F24344E"/>
    <w:lvl w:ilvl="0" w:tplc="47EA472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61D09"/>
    <w:multiLevelType w:val="hybridMultilevel"/>
    <w:tmpl w:val="72E4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9709C"/>
    <w:multiLevelType w:val="hybridMultilevel"/>
    <w:tmpl w:val="E03876F2"/>
    <w:lvl w:ilvl="0" w:tplc="BCB272CE">
      <w:start w:val="1"/>
      <w:numFmt w:val="bullet"/>
      <w:lvlText w:val=""/>
      <w:lvlJc w:val="left"/>
      <w:pPr>
        <w:tabs>
          <w:tab w:val="num" w:pos="720"/>
        </w:tabs>
        <w:ind w:left="720" w:hanging="360"/>
      </w:pPr>
      <w:rPr>
        <w:rFonts w:ascii="Wingdings 2" w:hAnsi="Wingdings 2" w:hint="default"/>
      </w:rPr>
    </w:lvl>
    <w:lvl w:ilvl="1" w:tplc="B32631A8">
      <w:start w:val="1"/>
      <w:numFmt w:val="bullet"/>
      <w:lvlText w:val=""/>
      <w:lvlJc w:val="left"/>
      <w:pPr>
        <w:tabs>
          <w:tab w:val="num" w:pos="1440"/>
        </w:tabs>
        <w:ind w:left="1440" w:hanging="360"/>
      </w:pPr>
      <w:rPr>
        <w:rFonts w:ascii="Wingdings 2" w:hAnsi="Wingdings 2" w:hint="default"/>
      </w:rPr>
    </w:lvl>
    <w:lvl w:ilvl="2" w:tplc="592422EA" w:tentative="1">
      <w:start w:val="1"/>
      <w:numFmt w:val="bullet"/>
      <w:lvlText w:val=""/>
      <w:lvlJc w:val="left"/>
      <w:pPr>
        <w:tabs>
          <w:tab w:val="num" w:pos="2160"/>
        </w:tabs>
        <w:ind w:left="2160" w:hanging="360"/>
      </w:pPr>
      <w:rPr>
        <w:rFonts w:ascii="Wingdings 2" w:hAnsi="Wingdings 2" w:hint="default"/>
      </w:rPr>
    </w:lvl>
    <w:lvl w:ilvl="3" w:tplc="D8804654" w:tentative="1">
      <w:start w:val="1"/>
      <w:numFmt w:val="bullet"/>
      <w:lvlText w:val=""/>
      <w:lvlJc w:val="left"/>
      <w:pPr>
        <w:tabs>
          <w:tab w:val="num" w:pos="2880"/>
        </w:tabs>
        <w:ind w:left="2880" w:hanging="360"/>
      </w:pPr>
      <w:rPr>
        <w:rFonts w:ascii="Wingdings 2" w:hAnsi="Wingdings 2" w:hint="default"/>
      </w:rPr>
    </w:lvl>
    <w:lvl w:ilvl="4" w:tplc="6E9A86EA" w:tentative="1">
      <w:start w:val="1"/>
      <w:numFmt w:val="bullet"/>
      <w:lvlText w:val=""/>
      <w:lvlJc w:val="left"/>
      <w:pPr>
        <w:tabs>
          <w:tab w:val="num" w:pos="3600"/>
        </w:tabs>
        <w:ind w:left="3600" w:hanging="360"/>
      </w:pPr>
      <w:rPr>
        <w:rFonts w:ascii="Wingdings 2" w:hAnsi="Wingdings 2" w:hint="default"/>
      </w:rPr>
    </w:lvl>
    <w:lvl w:ilvl="5" w:tplc="2E527E90" w:tentative="1">
      <w:start w:val="1"/>
      <w:numFmt w:val="bullet"/>
      <w:lvlText w:val=""/>
      <w:lvlJc w:val="left"/>
      <w:pPr>
        <w:tabs>
          <w:tab w:val="num" w:pos="4320"/>
        </w:tabs>
        <w:ind w:left="4320" w:hanging="360"/>
      </w:pPr>
      <w:rPr>
        <w:rFonts w:ascii="Wingdings 2" w:hAnsi="Wingdings 2" w:hint="default"/>
      </w:rPr>
    </w:lvl>
    <w:lvl w:ilvl="6" w:tplc="CB0C0B24" w:tentative="1">
      <w:start w:val="1"/>
      <w:numFmt w:val="bullet"/>
      <w:lvlText w:val=""/>
      <w:lvlJc w:val="left"/>
      <w:pPr>
        <w:tabs>
          <w:tab w:val="num" w:pos="5040"/>
        </w:tabs>
        <w:ind w:left="5040" w:hanging="360"/>
      </w:pPr>
      <w:rPr>
        <w:rFonts w:ascii="Wingdings 2" w:hAnsi="Wingdings 2" w:hint="default"/>
      </w:rPr>
    </w:lvl>
    <w:lvl w:ilvl="7" w:tplc="B5D642AC" w:tentative="1">
      <w:start w:val="1"/>
      <w:numFmt w:val="bullet"/>
      <w:lvlText w:val=""/>
      <w:lvlJc w:val="left"/>
      <w:pPr>
        <w:tabs>
          <w:tab w:val="num" w:pos="5760"/>
        </w:tabs>
        <w:ind w:left="5760" w:hanging="360"/>
      </w:pPr>
      <w:rPr>
        <w:rFonts w:ascii="Wingdings 2" w:hAnsi="Wingdings 2" w:hint="default"/>
      </w:rPr>
    </w:lvl>
    <w:lvl w:ilvl="8" w:tplc="4642A518" w:tentative="1">
      <w:start w:val="1"/>
      <w:numFmt w:val="bullet"/>
      <w:lvlText w:val=""/>
      <w:lvlJc w:val="left"/>
      <w:pPr>
        <w:tabs>
          <w:tab w:val="num" w:pos="6480"/>
        </w:tabs>
        <w:ind w:left="6480" w:hanging="360"/>
      </w:pPr>
      <w:rPr>
        <w:rFonts w:ascii="Wingdings 2" w:hAnsi="Wingdings 2" w:hint="default"/>
      </w:rPr>
    </w:lvl>
  </w:abstractNum>
  <w:abstractNum w:abstractNumId="9">
    <w:nsid w:val="5AA533CD"/>
    <w:multiLevelType w:val="hybridMultilevel"/>
    <w:tmpl w:val="1F6E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2816DA"/>
    <w:multiLevelType w:val="hybridMultilevel"/>
    <w:tmpl w:val="972E412E"/>
    <w:lvl w:ilvl="0" w:tplc="66D0939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50F9F"/>
    <w:multiLevelType w:val="hybridMultilevel"/>
    <w:tmpl w:val="CCD0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1"/>
  </w:num>
  <w:num w:numId="5">
    <w:abstractNumId w:val="6"/>
  </w:num>
  <w:num w:numId="6">
    <w:abstractNumId w:val="10"/>
  </w:num>
  <w:num w:numId="7">
    <w:abstractNumId w:val="1"/>
  </w:num>
  <w:num w:numId="8">
    <w:abstractNumId w:val="2"/>
  </w:num>
  <w:num w:numId="9">
    <w:abstractNumId w:val="3"/>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820DE"/>
    <w:rsid w:val="0003230A"/>
    <w:rsid w:val="0003281A"/>
    <w:rsid w:val="000677BF"/>
    <w:rsid w:val="000E0624"/>
    <w:rsid w:val="00120DCD"/>
    <w:rsid w:val="0013139E"/>
    <w:rsid w:val="001456F0"/>
    <w:rsid w:val="0016476D"/>
    <w:rsid w:val="00172D70"/>
    <w:rsid w:val="001903DB"/>
    <w:rsid w:val="001B23F4"/>
    <w:rsid w:val="002459C5"/>
    <w:rsid w:val="00246A03"/>
    <w:rsid w:val="00271FFA"/>
    <w:rsid w:val="002D70C1"/>
    <w:rsid w:val="003158CE"/>
    <w:rsid w:val="00374791"/>
    <w:rsid w:val="00390F02"/>
    <w:rsid w:val="00394782"/>
    <w:rsid w:val="003B1114"/>
    <w:rsid w:val="003B7453"/>
    <w:rsid w:val="003C0262"/>
    <w:rsid w:val="003D7202"/>
    <w:rsid w:val="003E0D68"/>
    <w:rsid w:val="004111B9"/>
    <w:rsid w:val="004132C3"/>
    <w:rsid w:val="00443BE1"/>
    <w:rsid w:val="00445BF6"/>
    <w:rsid w:val="00461C3D"/>
    <w:rsid w:val="00475DDA"/>
    <w:rsid w:val="004820DE"/>
    <w:rsid w:val="004B18FA"/>
    <w:rsid w:val="004C2F21"/>
    <w:rsid w:val="00524776"/>
    <w:rsid w:val="00524BA1"/>
    <w:rsid w:val="00530416"/>
    <w:rsid w:val="00542B7F"/>
    <w:rsid w:val="005B4603"/>
    <w:rsid w:val="005B5C77"/>
    <w:rsid w:val="005D3269"/>
    <w:rsid w:val="00617FAA"/>
    <w:rsid w:val="00636F1D"/>
    <w:rsid w:val="00657D4F"/>
    <w:rsid w:val="006832D5"/>
    <w:rsid w:val="00687548"/>
    <w:rsid w:val="006C508F"/>
    <w:rsid w:val="00704FD7"/>
    <w:rsid w:val="00770E54"/>
    <w:rsid w:val="007B0168"/>
    <w:rsid w:val="00805BA5"/>
    <w:rsid w:val="0081649E"/>
    <w:rsid w:val="00843609"/>
    <w:rsid w:val="008C3AAF"/>
    <w:rsid w:val="008F666D"/>
    <w:rsid w:val="00901E71"/>
    <w:rsid w:val="00942D4F"/>
    <w:rsid w:val="009D1906"/>
    <w:rsid w:val="00A04D14"/>
    <w:rsid w:val="00A25452"/>
    <w:rsid w:val="00A52824"/>
    <w:rsid w:val="00A65362"/>
    <w:rsid w:val="00A73DEF"/>
    <w:rsid w:val="00A908B9"/>
    <w:rsid w:val="00A916C4"/>
    <w:rsid w:val="00A9528F"/>
    <w:rsid w:val="00AC2700"/>
    <w:rsid w:val="00AC7A5E"/>
    <w:rsid w:val="00AD34A7"/>
    <w:rsid w:val="00B46BFD"/>
    <w:rsid w:val="00B80A9B"/>
    <w:rsid w:val="00BA2D2C"/>
    <w:rsid w:val="00BB193A"/>
    <w:rsid w:val="00BB1FA4"/>
    <w:rsid w:val="00BF01CC"/>
    <w:rsid w:val="00C14F10"/>
    <w:rsid w:val="00C82FA5"/>
    <w:rsid w:val="00DD4D1E"/>
    <w:rsid w:val="00E077E7"/>
    <w:rsid w:val="00E105DF"/>
    <w:rsid w:val="00E5526A"/>
    <w:rsid w:val="00E61EAA"/>
    <w:rsid w:val="00E74638"/>
    <w:rsid w:val="00EC1634"/>
    <w:rsid w:val="00ED3485"/>
    <w:rsid w:val="00ED7DE9"/>
    <w:rsid w:val="00F315F7"/>
    <w:rsid w:val="00F34FB4"/>
    <w:rsid w:val="00F6652A"/>
    <w:rsid w:val="00F82002"/>
    <w:rsid w:val="00F82990"/>
    <w:rsid w:val="00F94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A5"/>
    <w:pPr>
      <w:ind w:left="720"/>
      <w:contextualSpacing/>
    </w:pPr>
  </w:style>
  <w:style w:type="paragraph" w:customStyle="1" w:styleId="Style1">
    <w:name w:val="Style1"/>
    <w:basedOn w:val="Normal"/>
    <w:next w:val="Normal"/>
    <w:uiPriority w:val="99"/>
    <w:rsid w:val="00C82FA5"/>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semiHidden/>
    <w:unhideWhenUsed/>
    <w:rsid w:val="00390F02"/>
    <w:rPr>
      <w:color w:val="0000FF"/>
      <w:u w:val="single"/>
    </w:rPr>
  </w:style>
  <w:style w:type="paragraph" w:customStyle="1" w:styleId="headinganchor3">
    <w:name w:val="headinganchor3"/>
    <w:basedOn w:val="Normal"/>
    <w:rsid w:val="00770E54"/>
    <w:pPr>
      <w:spacing w:after="167" w:line="336" w:lineRule="auto"/>
    </w:pPr>
    <w:rPr>
      <w:rFonts w:ascii="Times New Roman" w:eastAsia="Times New Roman" w:hAnsi="Times New Roman" w:cs="Times New Roman"/>
      <w:sz w:val="24"/>
      <w:szCs w:val="24"/>
    </w:rPr>
  </w:style>
  <w:style w:type="character" w:customStyle="1" w:styleId="h22">
    <w:name w:val="h22"/>
    <w:basedOn w:val="DefaultParagraphFont"/>
    <w:rsid w:val="008C3AAF"/>
    <w:rPr>
      <w:b/>
      <w:bCs/>
    </w:rPr>
  </w:style>
  <w:style w:type="character" w:customStyle="1" w:styleId="italic2">
    <w:name w:val="italic2"/>
    <w:basedOn w:val="DefaultParagraphFont"/>
    <w:rsid w:val="008C3AAF"/>
    <w:rPr>
      <w:i/>
      <w:iCs/>
    </w:rPr>
  </w:style>
</w:styles>
</file>

<file path=word/webSettings.xml><?xml version="1.0" encoding="utf-8"?>
<w:webSettings xmlns:r="http://schemas.openxmlformats.org/officeDocument/2006/relationships" xmlns:w="http://schemas.openxmlformats.org/wordprocessingml/2006/main">
  <w:divs>
    <w:div w:id="723874966">
      <w:bodyDiv w:val="1"/>
      <w:marLeft w:val="0"/>
      <w:marRight w:val="0"/>
      <w:marTop w:val="0"/>
      <w:marBottom w:val="0"/>
      <w:divBdr>
        <w:top w:val="none" w:sz="0" w:space="0" w:color="auto"/>
        <w:left w:val="none" w:sz="0" w:space="0" w:color="auto"/>
        <w:bottom w:val="none" w:sz="0" w:space="0" w:color="auto"/>
        <w:right w:val="none" w:sz="0" w:space="0" w:color="auto"/>
      </w:divBdr>
      <w:divsChild>
        <w:div w:id="2098087568">
          <w:marLeft w:val="1008"/>
          <w:marRight w:val="0"/>
          <w:marTop w:val="110"/>
          <w:marBottom w:val="0"/>
          <w:divBdr>
            <w:top w:val="none" w:sz="0" w:space="0" w:color="auto"/>
            <w:left w:val="none" w:sz="0" w:space="0" w:color="auto"/>
            <w:bottom w:val="none" w:sz="0" w:space="0" w:color="auto"/>
            <w:right w:val="none" w:sz="0" w:space="0" w:color="auto"/>
          </w:divBdr>
        </w:div>
        <w:div w:id="716586570">
          <w:marLeft w:val="1008"/>
          <w:marRight w:val="0"/>
          <w:marTop w:val="110"/>
          <w:marBottom w:val="0"/>
          <w:divBdr>
            <w:top w:val="none" w:sz="0" w:space="0" w:color="auto"/>
            <w:left w:val="none" w:sz="0" w:space="0" w:color="auto"/>
            <w:bottom w:val="none" w:sz="0" w:space="0" w:color="auto"/>
            <w:right w:val="none" w:sz="0" w:space="0" w:color="auto"/>
          </w:divBdr>
        </w:div>
      </w:divsChild>
    </w:div>
    <w:div w:id="758645518">
      <w:bodyDiv w:val="1"/>
      <w:marLeft w:val="0"/>
      <w:marRight w:val="0"/>
      <w:marTop w:val="0"/>
      <w:marBottom w:val="0"/>
      <w:divBdr>
        <w:top w:val="none" w:sz="0" w:space="0" w:color="auto"/>
        <w:left w:val="none" w:sz="0" w:space="0" w:color="auto"/>
        <w:bottom w:val="none" w:sz="0" w:space="0" w:color="auto"/>
        <w:right w:val="none" w:sz="0" w:space="0" w:color="auto"/>
      </w:divBdr>
      <w:divsChild>
        <w:div w:id="1925340751">
          <w:marLeft w:val="0"/>
          <w:marRight w:val="0"/>
          <w:marTop w:val="0"/>
          <w:marBottom w:val="0"/>
          <w:divBdr>
            <w:top w:val="none" w:sz="0" w:space="0" w:color="auto"/>
            <w:left w:val="none" w:sz="0" w:space="0" w:color="auto"/>
            <w:bottom w:val="none" w:sz="0" w:space="0" w:color="auto"/>
            <w:right w:val="none" w:sz="0" w:space="0" w:color="auto"/>
          </w:divBdr>
          <w:divsChild>
            <w:div w:id="589504657">
              <w:marLeft w:val="240"/>
              <w:marRight w:val="240"/>
              <w:marTop w:val="240"/>
              <w:marBottom w:val="0"/>
              <w:divBdr>
                <w:top w:val="none" w:sz="0" w:space="0" w:color="auto"/>
                <w:left w:val="none" w:sz="0" w:space="0" w:color="auto"/>
                <w:bottom w:val="none" w:sz="0" w:space="0" w:color="auto"/>
                <w:right w:val="none" w:sz="0" w:space="0" w:color="auto"/>
              </w:divBdr>
              <w:divsChild>
                <w:div w:id="1183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49473">
      <w:bodyDiv w:val="1"/>
      <w:marLeft w:val="0"/>
      <w:marRight w:val="0"/>
      <w:marTop w:val="0"/>
      <w:marBottom w:val="0"/>
      <w:divBdr>
        <w:top w:val="none" w:sz="0" w:space="0" w:color="auto"/>
        <w:left w:val="none" w:sz="0" w:space="0" w:color="auto"/>
        <w:bottom w:val="none" w:sz="0" w:space="0" w:color="auto"/>
        <w:right w:val="none" w:sz="0" w:space="0" w:color="auto"/>
      </w:divBdr>
      <w:divsChild>
        <w:div w:id="167790822">
          <w:marLeft w:val="1008"/>
          <w:marRight w:val="0"/>
          <w:marTop w:val="110"/>
          <w:marBottom w:val="0"/>
          <w:divBdr>
            <w:top w:val="none" w:sz="0" w:space="0" w:color="auto"/>
            <w:left w:val="none" w:sz="0" w:space="0" w:color="auto"/>
            <w:bottom w:val="none" w:sz="0" w:space="0" w:color="auto"/>
            <w:right w:val="none" w:sz="0" w:space="0" w:color="auto"/>
          </w:divBdr>
        </w:div>
        <w:div w:id="795686247">
          <w:marLeft w:val="1008"/>
          <w:marRight w:val="0"/>
          <w:marTop w:val="110"/>
          <w:marBottom w:val="0"/>
          <w:divBdr>
            <w:top w:val="none" w:sz="0" w:space="0" w:color="auto"/>
            <w:left w:val="none" w:sz="0" w:space="0" w:color="auto"/>
            <w:bottom w:val="none" w:sz="0" w:space="0" w:color="auto"/>
            <w:right w:val="none" w:sz="0" w:space="0" w:color="auto"/>
          </w:divBdr>
        </w:div>
      </w:divsChild>
    </w:div>
    <w:div w:id="1264536111">
      <w:bodyDiv w:val="1"/>
      <w:marLeft w:val="0"/>
      <w:marRight w:val="0"/>
      <w:marTop w:val="0"/>
      <w:marBottom w:val="0"/>
      <w:divBdr>
        <w:top w:val="none" w:sz="0" w:space="0" w:color="auto"/>
        <w:left w:val="none" w:sz="0" w:space="0" w:color="auto"/>
        <w:bottom w:val="none" w:sz="0" w:space="0" w:color="auto"/>
        <w:right w:val="none" w:sz="0" w:space="0" w:color="auto"/>
      </w:divBdr>
      <w:divsChild>
        <w:div w:id="661936139">
          <w:marLeft w:val="0"/>
          <w:marRight w:val="0"/>
          <w:marTop w:val="0"/>
          <w:marBottom w:val="0"/>
          <w:divBdr>
            <w:top w:val="none" w:sz="0" w:space="0" w:color="auto"/>
            <w:left w:val="none" w:sz="0" w:space="0" w:color="auto"/>
            <w:bottom w:val="none" w:sz="0" w:space="0" w:color="auto"/>
            <w:right w:val="none" w:sz="0" w:space="0" w:color="auto"/>
          </w:divBdr>
          <w:divsChild>
            <w:div w:id="995720262">
              <w:marLeft w:val="240"/>
              <w:marRight w:val="240"/>
              <w:marTop w:val="240"/>
              <w:marBottom w:val="0"/>
              <w:divBdr>
                <w:top w:val="none" w:sz="0" w:space="0" w:color="auto"/>
                <w:left w:val="none" w:sz="0" w:space="0" w:color="auto"/>
                <w:bottom w:val="none" w:sz="0" w:space="0" w:color="auto"/>
                <w:right w:val="none" w:sz="0" w:space="0" w:color="auto"/>
              </w:divBdr>
              <w:divsChild>
                <w:div w:id="20560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88540">
      <w:bodyDiv w:val="1"/>
      <w:marLeft w:val="0"/>
      <w:marRight w:val="0"/>
      <w:marTop w:val="0"/>
      <w:marBottom w:val="0"/>
      <w:divBdr>
        <w:top w:val="none" w:sz="0" w:space="0" w:color="auto"/>
        <w:left w:val="none" w:sz="0" w:space="0" w:color="auto"/>
        <w:bottom w:val="none" w:sz="0" w:space="0" w:color="auto"/>
        <w:right w:val="none" w:sz="0" w:space="0" w:color="auto"/>
      </w:divBdr>
      <w:divsChild>
        <w:div w:id="1213884603">
          <w:marLeft w:val="0"/>
          <w:marRight w:val="0"/>
          <w:marTop w:val="0"/>
          <w:marBottom w:val="0"/>
          <w:divBdr>
            <w:top w:val="none" w:sz="0" w:space="0" w:color="auto"/>
            <w:left w:val="none" w:sz="0" w:space="0" w:color="auto"/>
            <w:bottom w:val="none" w:sz="0" w:space="0" w:color="auto"/>
            <w:right w:val="none" w:sz="0" w:space="0" w:color="auto"/>
          </w:divBdr>
          <w:divsChild>
            <w:div w:id="1114515177">
              <w:marLeft w:val="240"/>
              <w:marRight w:val="240"/>
              <w:marTop w:val="240"/>
              <w:marBottom w:val="0"/>
              <w:divBdr>
                <w:top w:val="none" w:sz="0" w:space="0" w:color="auto"/>
                <w:left w:val="none" w:sz="0" w:space="0" w:color="auto"/>
                <w:bottom w:val="none" w:sz="0" w:space="0" w:color="auto"/>
                <w:right w:val="none" w:sz="0" w:space="0" w:color="auto"/>
              </w:divBdr>
              <w:divsChild>
                <w:div w:id="8091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79</cp:revision>
  <dcterms:created xsi:type="dcterms:W3CDTF">2012-02-06T21:42:00Z</dcterms:created>
  <dcterms:modified xsi:type="dcterms:W3CDTF">2012-03-11T22:45:00Z</dcterms:modified>
</cp:coreProperties>
</file>