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DC" w:rsidRPr="005C3A80" w:rsidRDefault="001742DC" w:rsidP="001742DC">
      <w:pPr>
        <w:pStyle w:val="Heading1"/>
        <w:rPr>
          <w:rFonts w:ascii="Times New Roman" w:hAnsi="Times New Roman"/>
          <w:sz w:val="28"/>
          <w:u w:val="none"/>
        </w:rPr>
      </w:pPr>
      <w:r w:rsidRPr="005C3A80">
        <w:rPr>
          <w:rFonts w:ascii="Times New Roman" w:hAnsi="Times New Roman"/>
          <w:sz w:val="28"/>
          <w:u w:val="none"/>
        </w:rPr>
        <w:t>OSTEOPOROSIS</w:t>
      </w:r>
    </w:p>
    <w:p w:rsidR="001742DC" w:rsidRPr="005C3A80" w:rsidRDefault="001742DC" w:rsidP="001742DC">
      <w:pPr>
        <w:rPr>
          <w:sz w:val="22"/>
        </w:rPr>
      </w:pPr>
      <w:r w:rsidRPr="005C3A80">
        <w:rPr>
          <w:sz w:val="22"/>
        </w:rPr>
        <w:t xml:space="preserve">A condition characterized by decreased bone mass and </w:t>
      </w:r>
      <w:proofErr w:type="spellStart"/>
      <w:r w:rsidRPr="005C3A80">
        <w:rPr>
          <w:sz w:val="22"/>
        </w:rPr>
        <w:t>microarchitectural</w:t>
      </w:r>
      <w:proofErr w:type="spellEnd"/>
      <w:r w:rsidRPr="005C3A80">
        <w:rPr>
          <w:sz w:val="22"/>
        </w:rPr>
        <w:t xml:space="preserve"> deterioration of bone tissue causing increased bone fragility and susceptibility to fracture.</w:t>
      </w:r>
    </w:p>
    <w:p w:rsidR="001742DC" w:rsidRPr="005C3A80" w:rsidRDefault="001742DC" w:rsidP="001742DC">
      <w:pPr>
        <w:rPr>
          <w:sz w:val="22"/>
        </w:rPr>
      </w:pPr>
    </w:p>
    <w:p w:rsidR="001742DC" w:rsidRPr="005C3A80" w:rsidRDefault="001742DC" w:rsidP="001742DC">
      <w:pPr>
        <w:rPr>
          <w:b/>
          <w:bCs/>
          <w:sz w:val="22"/>
          <w:u w:val="single"/>
        </w:rPr>
      </w:pPr>
      <w:r w:rsidRPr="005C3A80">
        <w:rPr>
          <w:b/>
          <w:bCs/>
          <w:sz w:val="22"/>
          <w:u w:val="single"/>
        </w:rPr>
        <w:t>Etiology</w:t>
      </w:r>
    </w:p>
    <w:p w:rsidR="001742DC" w:rsidRPr="005C3A80" w:rsidRDefault="001742DC" w:rsidP="001742DC">
      <w:pPr>
        <w:rPr>
          <w:sz w:val="22"/>
        </w:rPr>
      </w:pPr>
      <w:r w:rsidRPr="005C3A80">
        <w:rPr>
          <w:sz w:val="22"/>
        </w:rPr>
        <w:t>- Primary Osteoporosis - Due to post-menopausal decline in estrogen and/or increased age</w:t>
      </w:r>
    </w:p>
    <w:p w:rsidR="001742DC" w:rsidRPr="005C3A80" w:rsidRDefault="001742DC" w:rsidP="001742DC">
      <w:pPr>
        <w:rPr>
          <w:sz w:val="22"/>
        </w:rPr>
      </w:pPr>
      <w:r w:rsidRPr="005C3A80">
        <w:rPr>
          <w:sz w:val="22"/>
        </w:rPr>
        <w:t>- Secondary Osteoporosis</w:t>
      </w:r>
    </w:p>
    <w:p w:rsidR="001742DC" w:rsidRPr="005C3A80" w:rsidRDefault="001742DC" w:rsidP="001742DC">
      <w:pPr>
        <w:numPr>
          <w:ilvl w:val="0"/>
          <w:numId w:val="5"/>
        </w:numPr>
        <w:tabs>
          <w:tab w:val="num" w:pos="720"/>
        </w:tabs>
        <w:ind w:left="720"/>
        <w:rPr>
          <w:sz w:val="22"/>
        </w:rPr>
      </w:pPr>
      <w:r w:rsidRPr="005C3A80">
        <w:rPr>
          <w:sz w:val="22"/>
        </w:rPr>
        <w:t xml:space="preserve">GI - </w:t>
      </w:r>
      <w:proofErr w:type="spellStart"/>
      <w:r w:rsidRPr="005C3A80">
        <w:rPr>
          <w:sz w:val="22"/>
        </w:rPr>
        <w:t>malabsorption</w:t>
      </w:r>
      <w:proofErr w:type="spellEnd"/>
      <w:r w:rsidRPr="005C3A80">
        <w:rPr>
          <w:sz w:val="22"/>
        </w:rPr>
        <w:t xml:space="preserve"> (</w:t>
      </w:r>
      <w:r w:rsidRPr="005C3A80">
        <w:rPr>
          <w:sz w:val="16"/>
        </w:rPr>
        <w:t>previous gastric surgery, IBD, celiac ds</w:t>
      </w:r>
      <w:r w:rsidRPr="005C3A80">
        <w:rPr>
          <w:sz w:val="22"/>
        </w:rPr>
        <w:t>), poor nutrition, chronic liver and renal disease</w:t>
      </w:r>
    </w:p>
    <w:p w:rsidR="001742DC" w:rsidRPr="005C3A80" w:rsidRDefault="001742DC" w:rsidP="001742DC">
      <w:pPr>
        <w:numPr>
          <w:ilvl w:val="0"/>
          <w:numId w:val="5"/>
        </w:numPr>
        <w:tabs>
          <w:tab w:val="num" w:pos="720"/>
        </w:tabs>
        <w:ind w:left="720"/>
        <w:rPr>
          <w:sz w:val="22"/>
        </w:rPr>
      </w:pPr>
      <w:r w:rsidRPr="005C3A80">
        <w:rPr>
          <w:sz w:val="22"/>
        </w:rPr>
        <w:t>Bone - multiple myeloma, lymphoma, leukemia, immobilization</w:t>
      </w:r>
    </w:p>
    <w:p w:rsidR="001742DC" w:rsidRPr="005C3A80" w:rsidRDefault="001742DC" w:rsidP="001742DC">
      <w:pPr>
        <w:numPr>
          <w:ilvl w:val="0"/>
          <w:numId w:val="5"/>
        </w:numPr>
        <w:tabs>
          <w:tab w:val="num" w:pos="720"/>
        </w:tabs>
        <w:ind w:left="720"/>
        <w:rPr>
          <w:sz w:val="22"/>
        </w:rPr>
      </w:pPr>
      <w:r w:rsidRPr="005C3A80">
        <w:rPr>
          <w:sz w:val="22"/>
        </w:rPr>
        <w:t>Endocrine - Cushing’s, hyperthyroidism, hyperparathyroidism, DM, acromegaly, estrogen deficiency (</w:t>
      </w:r>
      <w:proofErr w:type="spellStart"/>
      <w:r w:rsidRPr="005C3A80">
        <w:rPr>
          <w:sz w:val="16"/>
        </w:rPr>
        <w:t>hypogonadism</w:t>
      </w:r>
      <w:proofErr w:type="spellEnd"/>
      <w:r w:rsidRPr="005C3A80">
        <w:rPr>
          <w:sz w:val="16"/>
        </w:rPr>
        <w:t>, premature ovarian failure</w:t>
      </w:r>
      <w:r w:rsidRPr="005C3A80">
        <w:rPr>
          <w:sz w:val="22"/>
        </w:rPr>
        <w:t>)</w:t>
      </w:r>
    </w:p>
    <w:p w:rsidR="001742DC" w:rsidRPr="005C3A80" w:rsidRDefault="001742DC" w:rsidP="001742DC">
      <w:pPr>
        <w:numPr>
          <w:ilvl w:val="0"/>
          <w:numId w:val="5"/>
        </w:numPr>
        <w:tabs>
          <w:tab w:val="num" w:pos="720"/>
        </w:tabs>
        <w:ind w:left="720"/>
        <w:rPr>
          <w:sz w:val="22"/>
        </w:rPr>
      </w:pPr>
      <w:r w:rsidRPr="005C3A80">
        <w:rPr>
          <w:sz w:val="22"/>
        </w:rPr>
        <w:t>Inflammatory: rheumatoid arthritis, SLE</w:t>
      </w:r>
    </w:p>
    <w:p w:rsidR="001742DC" w:rsidRPr="005C3A80" w:rsidRDefault="001742DC" w:rsidP="001742DC">
      <w:pPr>
        <w:numPr>
          <w:ilvl w:val="0"/>
          <w:numId w:val="5"/>
        </w:numPr>
        <w:tabs>
          <w:tab w:val="num" w:pos="720"/>
        </w:tabs>
        <w:ind w:left="720"/>
        <w:rPr>
          <w:sz w:val="22"/>
        </w:rPr>
      </w:pPr>
      <w:r w:rsidRPr="005C3A80">
        <w:rPr>
          <w:sz w:val="22"/>
        </w:rPr>
        <w:t>Drugs</w:t>
      </w:r>
      <w:r w:rsidRPr="005C3A80">
        <w:rPr>
          <w:i/>
          <w:sz w:val="22"/>
        </w:rPr>
        <w:t xml:space="preserve"> – </w:t>
      </w:r>
      <w:proofErr w:type="gramStart"/>
      <w:r w:rsidRPr="005C3A80">
        <w:rPr>
          <w:sz w:val="22"/>
        </w:rPr>
        <w:t>corticosteroids(</w:t>
      </w:r>
      <w:proofErr w:type="gramEnd"/>
      <w:r w:rsidRPr="005C3A80">
        <w:rPr>
          <w:sz w:val="16"/>
        </w:rPr>
        <w:t>#2 reason to cause OP</w:t>
      </w:r>
      <w:r w:rsidRPr="005C3A80">
        <w:rPr>
          <w:sz w:val="22"/>
        </w:rPr>
        <w:t>), phenytoin, heparin, androgen deprivation Rx</w:t>
      </w:r>
    </w:p>
    <w:p w:rsidR="001742DC" w:rsidRPr="005C3A80" w:rsidRDefault="001742DC" w:rsidP="001742DC">
      <w:pPr>
        <w:numPr>
          <w:ilvl w:val="0"/>
          <w:numId w:val="5"/>
        </w:numPr>
        <w:tabs>
          <w:tab w:val="num" w:pos="720"/>
        </w:tabs>
        <w:ind w:left="720"/>
        <w:rPr>
          <w:sz w:val="22"/>
        </w:rPr>
      </w:pPr>
      <w:r w:rsidRPr="005C3A80">
        <w:rPr>
          <w:sz w:val="22"/>
        </w:rPr>
        <w:t>Psych – Anorexia nervosa, alcohol abuse</w:t>
      </w:r>
    </w:p>
    <w:p w:rsidR="001742DC" w:rsidRPr="005C3A80" w:rsidRDefault="001742DC" w:rsidP="001742DC">
      <w:pPr>
        <w:rPr>
          <w:b/>
          <w:bCs/>
          <w:sz w:val="22"/>
        </w:rPr>
      </w:pPr>
    </w:p>
    <w:p w:rsidR="001742DC" w:rsidRPr="005C3A80" w:rsidRDefault="001742DC" w:rsidP="001742DC">
      <w:pPr>
        <w:rPr>
          <w:b/>
          <w:bCs/>
          <w:sz w:val="22"/>
          <w:u w:val="single"/>
        </w:rPr>
      </w:pPr>
      <w:r w:rsidRPr="005C3A80">
        <w:rPr>
          <w:b/>
          <w:bCs/>
          <w:sz w:val="22"/>
          <w:u w:val="single"/>
        </w:rPr>
        <w:t>Screening</w:t>
      </w:r>
    </w:p>
    <w:p w:rsidR="001742DC" w:rsidRPr="005C3A80" w:rsidRDefault="001742DC" w:rsidP="001742DC">
      <w:pPr>
        <w:pStyle w:val="ListParagraph"/>
        <w:numPr>
          <w:ilvl w:val="0"/>
          <w:numId w:val="2"/>
        </w:numPr>
        <w:rPr>
          <w:bCs/>
          <w:sz w:val="22"/>
        </w:rPr>
      </w:pPr>
      <w:r w:rsidRPr="005C3A80">
        <w:rPr>
          <w:bCs/>
          <w:sz w:val="22"/>
        </w:rPr>
        <w:t>*Canadian clinical practice guideline focuses on prevention of fragility # and their consequences, rather than treating low BMD</w:t>
      </w:r>
    </w:p>
    <w:p w:rsidR="001742DC" w:rsidRPr="005C3A80" w:rsidRDefault="001742DC" w:rsidP="001742DC">
      <w:pPr>
        <w:pStyle w:val="ListParagraph"/>
        <w:numPr>
          <w:ilvl w:val="0"/>
          <w:numId w:val="2"/>
        </w:numPr>
        <w:rPr>
          <w:bCs/>
          <w:sz w:val="22"/>
        </w:rPr>
      </w:pPr>
      <w:r w:rsidRPr="005C3A80">
        <w:rPr>
          <w:bCs/>
          <w:sz w:val="22"/>
        </w:rPr>
        <w:t xml:space="preserve">All patients over 50 years of age should be screened for osteoporosis and fracture risk factors AND fall risk at their periodic health examination </w:t>
      </w:r>
    </w:p>
    <w:p w:rsidR="001742DC" w:rsidRPr="005C3A80" w:rsidRDefault="001742DC" w:rsidP="001742DC">
      <w:pPr>
        <w:pStyle w:val="ListParagraph"/>
        <w:numPr>
          <w:ilvl w:val="0"/>
          <w:numId w:val="2"/>
        </w:numPr>
        <w:rPr>
          <w:bCs/>
          <w:sz w:val="22"/>
        </w:rPr>
      </w:pPr>
      <w:r w:rsidRPr="005C3A80">
        <w:rPr>
          <w:bCs/>
          <w:sz w:val="22"/>
        </w:rPr>
        <w:t xml:space="preserve">Assess 10 </w:t>
      </w:r>
      <w:proofErr w:type="spellStart"/>
      <w:r w:rsidRPr="005C3A80">
        <w:rPr>
          <w:bCs/>
          <w:sz w:val="22"/>
        </w:rPr>
        <w:t>yr</w:t>
      </w:r>
      <w:proofErr w:type="spellEnd"/>
      <w:r w:rsidRPr="005C3A80">
        <w:rPr>
          <w:bCs/>
          <w:sz w:val="22"/>
        </w:rPr>
        <w:t xml:space="preserve"> fracture risk with FRAX or CAROC</w:t>
      </w:r>
    </w:p>
    <w:p w:rsidR="001742DC" w:rsidRPr="005C3A80" w:rsidRDefault="001742DC" w:rsidP="001742DC">
      <w:pPr>
        <w:pStyle w:val="ListParagraph"/>
        <w:numPr>
          <w:ilvl w:val="0"/>
          <w:numId w:val="2"/>
        </w:numPr>
        <w:rPr>
          <w:bCs/>
          <w:sz w:val="22"/>
        </w:rPr>
      </w:pPr>
      <w:proofErr w:type="spellStart"/>
      <w:r w:rsidRPr="005C3A80">
        <w:rPr>
          <w:bCs/>
          <w:sz w:val="22"/>
        </w:rPr>
        <w:t>Hx</w:t>
      </w:r>
      <w:proofErr w:type="spellEnd"/>
      <w:r w:rsidRPr="005C3A80">
        <w:rPr>
          <w:bCs/>
          <w:sz w:val="22"/>
        </w:rPr>
        <w:t xml:space="preserve"> – prior fragility #, parental hip #, glucocorticoid use, smoking, high </w:t>
      </w:r>
      <w:proofErr w:type="spellStart"/>
      <w:r w:rsidRPr="005C3A80">
        <w:rPr>
          <w:bCs/>
          <w:sz w:val="22"/>
        </w:rPr>
        <w:t>EtOH</w:t>
      </w:r>
      <w:proofErr w:type="spellEnd"/>
      <w:r w:rsidRPr="005C3A80">
        <w:rPr>
          <w:bCs/>
          <w:sz w:val="22"/>
        </w:rPr>
        <w:t xml:space="preserve"> intake, rheumatoid arthritis, falls in past year, gait and balance</w:t>
      </w:r>
    </w:p>
    <w:p w:rsidR="001742DC" w:rsidRPr="005C3A80" w:rsidRDefault="001742DC" w:rsidP="001742DC">
      <w:pPr>
        <w:pStyle w:val="ListParagraph"/>
        <w:numPr>
          <w:ilvl w:val="0"/>
          <w:numId w:val="2"/>
        </w:numPr>
        <w:rPr>
          <w:bCs/>
          <w:sz w:val="22"/>
        </w:rPr>
      </w:pPr>
      <w:r w:rsidRPr="005C3A80">
        <w:rPr>
          <w:bCs/>
          <w:sz w:val="22"/>
        </w:rPr>
        <w:t>PE – weight, height (</w:t>
      </w:r>
      <w:r w:rsidRPr="005C3A80">
        <w:rPr>
          <w:bCs/>
          <w:sz w:val="16"/>
        </w:rPr>
        <w:t>historical loss &gt;6cm or prospective loss &gt;2cm</w:t>
      </w:r>
      <w:r w:rsidRPr="005C3A80">
        <w:rPr>
          <w:bCs/>
          <w:sz w:val="22"/>
        </w:rPr>
        <w:t xml:space="preserve">), rib to pelvis distance </w:t>
      </w:r>
      <w:r w:rsidRPr="005C3A80">
        <w:rPr>
          <w:bCs/>
          <w:sz w:val="22"/>
          <w:u w:val="single"/>
        </w:rPr>
        <w:t>&lt;</w:t>
      </w:r>
      <w:r w:rsidRPr="005C3A80">
        <w:rPr>
          <w:bCs/>
          <w:sz w:val="22"/>
        </w:rPr>
        <w:t xml:space="preserve"> 2 fingers breadth, occiput to wall distance &gt; 5cm, fall risk – Get-Up-and-Go Test</w:t>
      </w:r>
    </w:p>
    <w:p w:rsidR="001742DC" w:rsidRPr="005C3A80" w:rsidRDefault="001742DC" w:rsidP="001742DC">
      <w:pPr>
        <w:pStyle w:val="ListParagraph"/>
        <w:numPr>
          <w:ilvl w:val="0"/>
          <w:numId w:val="2"/>
        </w:numPr>
        <w:rPr>
          <w:bCs/>
          <w:sz w:val="22"/>
        </w:rPr>
      </w:pPr>
      <w:r w:rsidRPr="005C3A80">
        <w:rPr>
          <w:bCs/>
          <w:sz w:val="22"/>
        </w:rPr>
        <w:t xml:space="preserve">Based on </w:t>
      </w:r>
      <w:proofErr w:type="spellStart"/>
      <w:r w:rsidRPr="005C3A80">
        <w:rPr>
          <w:bCs/>
          <w:sz w:val="22"/>
        </w:rPr>
        <w:t>Hx</w:t>
      </w:r>
      <w:proofErr w:type="spellEnd"/>
      <w:r w:rsidRPr="005C3A80">
        <w:rPr>
          <w:bCs/>
          <w:sz w:val="22"/>
        </w:rPr>
        <w:t xml:space="preserve"> and </w:t>
      </w:r>
      <w:proofErr w:type="spellStart"/>
      <w:r w:rsidRPr="005C3A80">
        <w:rPr>
          <w:bCs/>
          <w:sz w:val="22"/>
        </w:rPr>
        <w:t>Px</w:t>
      </w:r>
      <w:proofErr w:type="spellEnd"/>
      <w:r w:rsidRPr="005C3A80">
        <w:rPr>
          <w:bCs/>
          <w:sz w:val="22"/>
        </w:rPr>
        <w:t xml:space="preserve">, look at indications for a Bone Mineral Density (BMD). </w:t>
      </w:r>
      <w:proofErr w:type="gramStart"/>
      <w:r w:rsidRPr="005C3A80">
        <w:rPr>
          <w:bCs/>
          <w:sz w:val="22"/>
        </w:rPr>
        <w:t>Wide-spread</w:t>
      </w:r>
      <w:proofErr w:type="gramEnd"/>
      <w:r w:rsidRPr="005C3A80">
        <w:rPr>
          <w:bCs/>
          <w:sz w:val="22"/>
        </w:rPr>
        <w:t xml:space="preserve"> BMD screening for those under 65 is not recommended. </w:t>
      </w:r>
    </w:p>
    <w:p w:rsidR="001742DC" w:rsidRPr="005C3A80" w:rsidRDefault="001742DC" w:rsidP="001742DC">
      <w:pPr>
        <w:rPr>
          <w:bCs/>
          <w:sz w:val="22"/>
        </w:rPr>
      </w:pPr>
    </w:p>
    <w:p w:rsidR="001742DC" w:rsidRPr="005C3A80" w:rsidRDefault="001742DC" w:rsidP="001742DC">
      <w:pPr>
        <w:rPr>
          <w:b/>
          <w:bCs/>
          <w:sz w:val="22"/>
          <w:u w:val="single"/>
        </w:rPr>
        <w:sectPr w:rsidR="001742DC" w:rsidRPr="005C3A80" w:rsidSect="00F76F45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742DC" w:rsidRPr="005C3A80" w:rsidRDefault="001742DC" w:rsidP="001742DC">
      <w:pPr>
        <w:ind w:left="-360"/>
        <w:rPr>
          <w:b/>
          <w:bCs/>
          <w:sz w:val="22"/>
          <w:u w:val="single"/>
        </w:rPr>
      </w:pPr>
      <w:r w:rsidRPr="005C3A80">
        <w:rPr>
          <w:b/>
          <w:bCs/>
          <w:sz w:val="22"/>
          <w:u w:val="single"/>
        </w:rPr>
        <w:lastRenderedPageBreak/>
        <w:t>Indications for measuring BMD</w:t>
      </w:r>
    </w:p>
    <w:p w:rsidR="001742DC" w:rsidRPr="005C3A80" w:rsidRDefault="001742DC" w:rsidP="001742DC">
      <w:pPr>
        <w:rPr>
          <w:bCs/>
          <w:sz w:val="22"/>
        </w:rPr>
      </w:pPr>
      <w:r w:rsidRPr="005C3A80">
        <w:rPr>
          <w:bCs/>
          <w:sz w:val="22"/>
        </w:rPr>
        <w:t xml:space="preserve">- All patients aged 65 </w:t>
      </w:r>
      <w:proofErr w:type="spellStart"/>
      <w:r w:rsidRPr="005C3A80">
        <w:rPr>
          <w:bCs/>
          <w:sz w:val="22"/>
        </w:rPr>
        <w:t>yrs</w:t>
      </w:r>
      <w:proofErr w:type="spellEnd"/>
    </w:p>
    <w:p w:rsidR="001742DC" w:rsidRPr="005C3A80" w:rsidRDefault="001742DC" w:rsidP="001742DC">
      <w:pPr>
        <w:rPr>
          <w:bCs/>
          <w:sz w:val="22"/>
        </w:rPr>
      </w:pPr>
      <w:r w:rsidRPr="005C3A80">
        <w:rPr>
          <w:bCs/>
          <w:sz w:val="22"/>
        </w:rPr>
        <w:t xml:space="preserve">- If age 50-64 </w:t>
      </w:r>
      <w:proofErr w:type="spellStart"/>
      <w:r w:rsidRPr="005C3A80">
        <w:rPr>
          <w:bCs/>
          <w:sz w:val="22"/>
        </w:rPr>
        <w:t>yrs</w:t>
      </w:r>
      <w:proofErr w:type="spellEnd"/>
      <w:r w:rsidRPr="005C3A80">
        <w:rPr>
          <w:bCs/>
          <w:sz w:val="22"/>
        </w:rPr>
        <w:t xml:space="preserve"> and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r w:rsidRPr="005C3A80">
        <w:rPr>
          <w:bCs/>
          <w:sz w:val="22"/>
        </w:rPr>
        <w:t>Fragility fracture after age 40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r w:rsidRPr="005C3A80">
        <w:rPr>
          <w:bCs/>
          <w:sz w:val="22"/>
        </w:rPr>
        <w:t>Prolonged use of corticosteroids*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r w:rsidRPr="005C3A80">
        <w:rPr>
          <w:bCs/>
          <w:sz w:val="22"/>
        </w:rPr>
        <w:t>Use of other high risk meds **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r w:rsidRPr="005C3A80">
        <w:rPr>
          <w:bCs/>
          <w:sz w:val="22"/>
        </w:rPr>
        <w:t>Parenteral hip fracture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r w:rsidRPr="005C3A80">
        <w:rPr>
          <w:bCs/>
          <w:sz w:val="22"/>
        </w:rPr>
        <w:t xml:space="preserve">Vertebral fracture or osteopenia seen on </w:t>
      </w:r>
      <w:proofErr w:type="spellStart"/>
      <w:r w:rsidRPr="005C3A80">
        <w:rPr>
          <w:bCs/>
          <w:sz w:val="22"/>
        </w:rPr>
        <w:t>Xray</w:t>
      </w:r>
      <w:proofErr w:type="spellEnd"/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r w:rsidRPr="005C3A80">
        <w:rPr>
          <w:bCs/>
          <w:sz w:val="22"/>
        </w:rPr>
        <w:t>Current smoking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r w:rsidRPr="005C3A80">
        <w:rPr>
          <w:bCs/>
          <w:sz w:val="22"/>
        </w:rPr>
        <w:t xml:space="preserve">High </w:t>
      </w:r>
      <w:proofErr w:type="spellStart"/>
      <w:r w:rsidRPr="005C3A80">
        <w:rPr>
          <w:bCs/>
          <w:sz w:val="22"/>
        </w:rPr>
        <w:t>EtOH</w:t>
      </w:r>
      <w:proofErr w:type="spellEnd"/>
      <w:r w:rsidRPr="005C3A80">
        <w:rPr>
          <w:bCs/>
          <w:sz w:val="22"/>
        </w:rPr>
        <w:t xml:space="preserve"> intake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r w:rsidRPr="005C3A80">
        <w:rPr>
          <w:bCs/>
          <w:sz w:val="22"/>
        </w:rPr>
        <w:t xml:space="preserve">Low body weight </w:t>
      </w:r>
      <w:r w:rsidRPr="005C3A80">
        <w:rPr>
          <w:bCs/>
          <w:sz w:val="16"/>
        </w:rPr>
        <w:t>(&lt; 60 kg</w:t>
      </w:r>
      <w:r w:rsidRPr="005C3A80">
        <w:rPr>
          <w:bCs/>
          <w:sz w:val="22"/>
        </w:rPr>
        <w:t>) or major weight loss (</w:t>
      </w:r>
      <w:r w:rsidRPr="005C3A80">
        <w:rPr>
          <w:bCs/>
          <w:sz w:val="16"/>
        </w:rPr>
        <w:t>&gt; 10% of body weight</w:t>
      </w:r>
      <w:r w:rsidRPr="005C3A80">
        <w:rPr>
          <w:bCs/>
          <w:sz w:val="22"/>
        </w:rPr>
        <w:t>)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r w:rsidRPr="005C3A80">
        <w:rPr>
          <w:bCs/>
          <w:sz w:val="22"/>
        </w:rPr>
        <w:t>Rheumatoid Arthritis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r w:rsidRPr="005C3A80">
        <w:rPr>
          <w:bCs/>
          <w:sz w:val="22"/>
        </w:rPr>
        <w:t xml:space="preserve">Other disorders strongly </w:t>
      </w:r>
      <w:proofErr w:type="spellStart"/>
      <w:r w:rsidRPr="005C3A80">
        <w:rPr>
          <w:bCs/>
          <w:sz w:val="22"/>
        </w:rPr>
        <w:t>asst’d</w:t>
      </w:r>
      <w:proofErr w:type="spellEnd"/>
      <w:r w:rsidRPr="005C3A80">
        <w:rPr>
          <w:bCs/>
          <w:sz w:val="22"/>
        </w:rPr>
        <w:t xml:space="preserve"> with OP</w:t>
      </w:r>
    </w:p>
    <w:p w:rsidR="001742DC" w:rsidRPr="005C3A80" w:rsidRDefault="001742DC" w:rsidP="001742DC">
      <w:pPr>
        <w:pStyle w:val="ListParagraph"/>
        <w:rPr>
          <w:bCs/>
          <w:sz w:val="22"/>
        </w:rPr>
      </w:pPr>
    </w:p>
    <w:p w:rsidR="001742DC" w:rsidRPr="005C3A80" w:rsidRDefault="001742DC" w:rsidP="001742DC">
      <w:pPr>
        <w:pStyle w:val="ListParagraph"/>
        <w:rPr>
          <w:bCs/>
          <w:sz w:val="22"/>
        </w:rPr>
      </w:pPr>
    </w:p>
    <w:p w:rsidR="001742DC" w:rsidRPr="005C3A80" w:rsidRDefault="001742DC" w:rsidP="001742DC">
      <w:pPr>
        <w:rPr>
          <w:bCs/>
          <w:sz w:val="22"/>
        </w:rPr>
      </w:pPr>
      <w:r w:rsidRPr="005C3A80">
        <w:rPr>
          <w:bCs/>
          <w:sz w:val="22"/>
        </w:rPr>
        <w:t xml:space="preserve">- If age &lt; 50 </w:t>
      </w:r>
      <w:proofErr w:type="spellStart"/>
      <w:r w:rsidRPr="005C3A80">
        <w:rPr>
          <w:bCs/>
          <w:sz w:val="22"/>
        </w:rPr>
        <w:t>yrs</w:t>
      </w:r>
      <w:proofErr w:type="spellEnd"/>
      <w:r w:rsidRPr="005C3A80">
        <w:rPr>
          <w:bCs/>
          <w:sz w:val="22"/>
        </w:rPr>
        <w:t xml:space="preserve"> and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r w:rsidRPr="005C3A80">
        <w:rPr>
          <w:bCs/>
          <w:sz w:val="22"/>
        </w:rPr>
        <w:lastRenderedPageBreak/>
        <w:t>Fragility Fracture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r w:rsidRPr="005C3A80">
        <w:rPr>
          <w:bCs/>
          <w:sz w:val="22"/>
        </w:rPr>
        <w:t>Prolonged use of corticosteroids*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r w:rsidRPr="005C3A80">
        <w:rPr>
          <w:bCs/>
          <w:sz w:val="22"/>
        </w:rPr>
        <w:t>Use of other high risk meds**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proofErr w:type="spellStart"/>
      <w:r w:rsidRPr="005C3A80">
        <w:rPr>
          <w:bCs/>
          <w:sz w:val="22"/>
        </w:rPr>
        <w:t>Hypogonadism</w:t>
      </w:r>
      <w:proofErr w:type="spellEnd"/>
      <w:r w:rsidRPr="005C3A80">
        <w:rPr>
          <w:bCs/>
          <w:sz w:val="22"/>
        </w:rPr>
        <w:t xml:space="preserve"> or premature menopause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proofErr w:type="spellStart"/>
      <w:r w:rsidRPr="005C3A80">
        <w:rPr>
          <w:bCs/>
          <w:sz w:val="22"/>
        </w:rPr>
        <w:t>Malabsorption</w:t>
      </w:r>
      <w:proofErr w:type="spellEnd"/>
      <w:r w:rsidRPr="005C3A80">
        <w:rPr>
          <w:bCs/>
          <w:sz w:val="22"/>
        </w:rPr>
        <w:t xml:space="preserve"> syndrome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r w:rsidRPr="005C3A80">
        <w:rPr>
          <w:bCs/>
          <w:sz w:val="22"/>
        </w:rPr>
        <w:t>Primary hyperparathyroidism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r w:rsidRPr="005C3A80">
        <w:rPr>
          <w:bCs/>
          <w:sz w:val="22"/>
        </w:rPr>
        <w:t>Other disorder strongly associated with rapid bone loss and/or fracture</w:t>
      </w:r>
    </w:p>
    <w:p w:rsidR="001742DC" w:rsidRPr="005C3A80" w:rsidRDefault="001742DC" w:rsidP="001742DC">
      <w:pPr>
        <w:ind w:left="360"/>
        <w:rPr>
          <w:bCs/>
          <w:sz w:val="22"/>
        </w:rPr>
      </w:pPr>
    </w:p>
    <w:p w:rsidR="001742DC" w:rsidRPr="005C3A80" w:rsidRDefault="001742DC" w:rsidP="001742DC">
      <w:pPr>
        <w:ind w:left="360"/>
        <w:rPr>
          <w:i/>
          <w:sz w:val="16"/>
        </w:rPr>
      </w:pPr>
      <w:r w:rsidRPr="005C3A80">
        <w:rPr>
          <w:bCs/>
          <w:sz w:val="16"/>
        </w:rPr>
        <w:t xml:space="preserve">* </w:t>
      </w:r>
      <w:proofErr w:type="gramStart"/>
      <w:r w:rsidRPr="005C3A80">
        <w:rPr>
          <w:bCs/>
          <w:sz w:val="16"/>
        </w:rPr>
        <w:t>corticosteroid</w:t>
      </w:r>
      <w:proofErr w:type="gramEnd"/>
      <w:r w:rsidRPr="005C3A80">
        <w:rPr>
          <w:bCs/>
          <w:sz w:val="16"/>
        </w:rPr>
        <w:t xml:space="preserve"> </w:t>
      </w:r>
      <w:r w:rsidRPr="005C3A80">
        <w:rPr>
          <w:i/>
          <w:sz w:val="16"/>
        </w:rPr>
        <w:t>&gt;7.5mg prednisone ODx3months</w:t>
      </w:r>
    </w:p>
    <w:p w:rsidR="001742DC" w:rsidRPr="005C3A80" w:rsidRDefault="001742DC" w:rsidP="001742DC">
      <w:pPr>
        <w:ind w:left="360"/>
        <w:rPr>
          <w:bCs/>
          <w:sz w:val="16"/>
        </w:rPr>
      </w:pPr>
      <w:r w:rsidRPr="005C3A80">
        <w:rPr>
          <w:bCs/>
          <w:sz w:val="16"/>
        </w:rPr>
        <w:t xml:space="preserve">** </w:t>
      </w:r>
      <w:proofErr w:type="gramStart"/>
      <w:r w:rsidRPr="005C3A80">
        <w:rPr>
          <w:bCs/>
          <w:sz w:val="16"/>
        </w:rPr>
        <w:t>aromatase</w:t>
      </w:r>
      <w:proofErr w:type="gramEnd"/>
      <w:r w:rsidRPr="005C3A80">
        <w:rPr>
          <w:bCs/>
          <w:sz w:val="16"/>
        </w:rPr>
        <w:t xml:space="preserve"> inhibitor, androgen deprivation therapy</w:t>
      </w:r>
    </w:p>
    <w:p w:rsidR="001742DC" w:rsidRPr="005C3A80" w:rsidRDefault="001742DC" w:rsidP="001742DC">
      <w:pPr>
        <w:rPr>
          <w:bCs/>
          <w:sz w:val="22"/>
        </w:rPr>
        <w:sectPr w:rsidR="001742DC" w:rsidRPr="005C3A80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1742DC" w:rsidRPr="005C3A80" w:rsidRDefault="001742DC" w:rsidP="001742DC">
      <w:pPr>
        <w:rPr>
          <w:b/>
          <w:bCs/>
          <w:sz w:val="22"/>
          <w:u w:val="single"/>
        </w:rPr>
      </w:pPr>
    </w:p>
    <w:p w:rsidR="001742DC" w:rsidRPr="005C3A80" w:rsidRDefault="001742DC" w:rsidP="001742DC">
      <w:pPr>
        <w:rPr>
          <w:b/>
          <w:bCs/>
          <w:sz w:val="22"/>
          <w:u w:val="single"/>
        </w:rPr>
      </w:pPr>
      <w:r w:rsidRPr="005C3A80">
        <w:rPr>
          <w:b/>
          <w:bCs/>
          <w:sz w:val="22"/>
          <w:u w:val="single"/>
        </w:rPr>
        <w:t>Clinical Features</w:t>
      </w:r>
    </w:p>
    <w:p w:rsidR="001742DC" w:rsidRPr="005C3A80" w:rsidRDefault="001742DC" w:rsidP="001742DC">
      <w:pPr>
        <w:pStyle w:val="ListParagraph"/>
        <w:numPr>
          <w:ilvl w:val="0"/>
          <w:numId w:val="2"/>
        </w:numPr>
        <w:rPr>
          <w:bCs/>
          <w:sz w:val="22"/>
        </w:rPr>
      </w:pPr>
      <w:r w:rsidRPr="005C3A80">
        <w:rPr>
          <w:bCs/>
          <w:sz w:val="22"/>
        </w:rPr>
        <w:t>Commonly asymptomatic</w:t>
      </w:r>
    </w:p>
    <w:p w:rsidR="001742DC" w:rsidRPr="005C3A80" w:rsidRDefault="001742DC" w:rsidP="001742DC">
      <w:pPr>
        <w:pStyle w:val="ListParagraph"/>
        <w:numPr>
          <w:ilvl w:val="0"/>
          <w:numId w:val="2"/>
        </w:numPr>
        <w:rPr>
          <w:bCs/>
          <w:sz w:val="22"/>
        </w:rPr>
      </w:pPr>
      <w:r w:rsidRPr="005C3A80">
        <w:rPr>
          <w:bCs/>
          <w:sz w:val="22"/>
        </w:rPr>
        <w:t xml:space="preserve">May have pain, especially back </w:t>
      </w:r>
    </w:p>
    <w:p w:rsidR="001742DC" w:rsidRPr="005C3A80" w:rsidRDefault="001742DC" w:rsidP="001742DC">
      <w:pPr>
        <w:pStyle w:val="ListParagraph"/>
        <w:numPr>
          <w:ilvl w:val="0"/>
          <w:numId w:val="2"/>
        </w:numPr>
        <w:rPr>
          <w:bCs/>
          <w:sz w:val="22"/>
        </w:rPr>
      </w:pPr>
      <w:r w:rsidRPr="005C3A80">
        <w:rPr>
          <w:bCs/>
          <w:sz w:val="22"/>
        </w:rPr>
        <w:t>Height loss or thoracic kyphosis</w:t>
      </w:r>
    </w:p>
    <w:p w:rsidR="001742DC" w:rsidRPr="005C3A80" w:rsidRDefault="001742DC" w:rsidP="001742DC">
      <w:pPr>
        <w:pStyle w:val="ListParagraph"/>
        <w:numPr>
          <w:ilvl w:val="0"/>
          <w:numId w:val="2"/>
        </w:numPr>
        <w:rPr>
          <w:bCs/>
          <w:sz w:val="22"/>
        </w:rPr>
      </w:pPr>
      <w:r w:rsidRPr="005C3A80">
        <w:rPr>
          <w:bCs/>
          <w:sz w:val="22"/>
        </w:rPr>
        <w:t xml:space="preserve">Fractures – hip, vertebrae, </w:t>
      </w:r>
      <w:proofErr w:type="spellStart"/>
      <w:r w:rsidRPr="005C3A80">
        <w:rPr>
          <w:bCs/>
          <w:sz w:val="22"/>
        </w:rPr>
        <w:t>humerus</w:t>
      </w:r>
      <w:proofErr w:type="spellEnd"/>
      <w:r w:rsidRPr="005C3A80">
        <w:rPr>
          <w:bCs/>
          <w:sz w:val="22"/>
        </w:rPr>
        <w:t xml:space="preserve"> and wrist are most common</w:t>
      </w:r>
    </w:p>
    <w:p w:rsidR="001742DC" w:rsidRPr="005C3A80" w:rsidRDefault="001742DC" w:rsidP="001742DC">
      <w:pPr>
        <w:rPr>
          <w:b/>
          <w:bCs/>
          <w:sz w:val="22"/>
          <w:u w:val="single"/>
        </w:rPr>
      </w:pPr>
      <w:r w:rsidRPr="005C3A80">
        <w:rPr>
          <w:b/>
          <w:bCs/>
          <w:sz w:val="22"/>
          <w:u w:val="single"/>
        </w:rPr>
        <w:t>Investigations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bCs/>
          <w:sz w:val="22"/>
        </w:rPr>
      </w:pPr>
      <w:r w:rsidRPr="005C3A80">
        <w:rPr>
          <w:bCs/>
          <w:sz w:val="22"/>
        </w:rPr>
        <w:t xml:space="preserve">Usually have normal </w:t>
      </w:r>
      <w:proofErr w:type="spellStart"/>
      <w:r w:rsidRPr="005C3A80">
        <w:rPr>
          <w:bCs/>
          <w:sz w:val="22"/>
        </w:rPr>
        <w:t>Ca</w:t>
      </w:r>
      <w:proofErr w:type="spellEnd"/>
      <w:r w:rsidRPr="005C3A80">
        <w:rPr>
          <w:bCs/>
          <w:sz w:val="22"/>
        </w:rPr>
        <w:t>, PO4, ALP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sz w:val="22"/>
        </w:rPr>
      </w:pPr>
      <w:r w:rsidRPr="005C3A80">
        <w:rPr>
          <w:bCs/>
          <w:sz w:val="22"/>
        </w:rPr>
        <w:t xml:space="preserve">Check CBC, Cr, TSH, </w:t>
      </w:r>
      <w:proofErr w:type="spellStart"/>
      <w:r w:rsidRPr="005C3A80">
        <w:rPr>
          <w:bCs/>
          <w:sz w:val="22"/>
        </w:rPr>
        <w:t>vit</w:t>
      </w:r>
      <w:proofErr w:type="spellEnd"/>
      <w:r w:rsidRPr="005C3A80">
        <w:rPr>
          <w:bCs/>
          <w:sz w:val="22"/>
        </w:rPr>
        <w:t xml:space="preserve"> D, SPEP/UPEP, 24 </w:t>
      </w:r>
      <w:proofErr w:type="spellStart"/>
      <w:r w:rsidRPr="005C3A80">
        <w:rPr>
          <w:bCs/>
          <w:sz w:val="22"/>
        </w:rPr>
        <w:t>hr</w:t>
      </w:r>
      <w:proofErr w:type="spellEnd"/>
      <w:r w:rsidRPr="005C3A80">
        <w:rPr>
          <w:bCs/>
          <w:sz w:val="22"/>
        </w:rPr>
        <w:t xml:space="preserve"> urinary </w:t>
      </w:r>
      <w:proofErr w:type="spellStart"/>
      <w:r w:rsidRPr="005C3A80">
        <w:rPr>
          <w:bCs/>
          <w:sz w:val="22"/>
        </w:rPr>
        <w:t>Ca</w:t>
      </w:r>
      <w:proofErr w:type="spellEnd"/>
      <w:r w:rsidRPr="005C3A80">
        <w:rPr>
          <w:bCs/>
          <w:sz w:val="22"/>
        </w:rPr>
        <w:t xml:space="preserve"> excretion, PTH. 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sz w:val="22"/>
        </w:rPr>
      </w:pPr>
      <w:r w:rsidRPr="005C3A80">
        <w:rPr>
          <w:bCs/>
          <w:sz w:val="22"/>
        </w:rPr>
        <w:t>Lateral thoracic and lumbar spine X-rays if clinical suggestion of vertebral #</w:t>
      </w:r>
    </w:p>
    <w:p w:rsidR="001742DC" w:rsidRPr="005C3A80" w:rsidRDefault="001742DC" w:rsidP="001742DC">
      <w:pPr>
        <w:rPr>
          <w:sz w:val="22"/>
        </w:rPr>
      </w:pPr>
    </w:p>
    <w:p w:rsidR="001742DC" w:rsidRPr="005C3A80" w:rsidRDefault="001742DC" w:rsidP="001742DC">
      <w:pPr>
        <w:rPr>
          <w:b/>
          <w:sz w:val="22"/>
          <w:u w:val="single"/>
        </w:rPr>
      </w:pPr>
      <w:r w:rsidRPr="005C3A80">
        <w:rPr>
          <w:b/>
          <w:sz w:val="22"/>
          <w:u w:val="single"/>
        </w:rPr>
        <w:t>Bone Mineral Density:</w:t>
      </w:r>
    </w:p>
    <w:p w:rsidR="001742DC" w:rsidRPr="005C3A80" w:rsidRDefault="001742DC" w:rsidP="001742DC">
      <w:pPr>
        <w:numPr>
          <w:ilvl w:val="0"/>
          <w:numId w:val="1"/>
        </w:numPr>
        <w:rPr>
          <w:sz w:val="22"/>
        </w:rPr>
      </w:pPr>
      <w:r w:rsidRPr="005C3A80">
        <w:rPr>
          <w:sz w:val="22"/>
        </w:rPr>
        <w:t>Dual-energy X-ray densitometry (DEXA) is gold standard</w:t>
      </w:r>
    </w:p>
    <w:p w:rsidR="001742DC" w:rsidRPr="005C3A80" w:rsidRDefault="001742DC" w:rsidP="001742DC">
      <w:pPr>
        <w:pStyle w:val="ListParagraph"/>
        <w:numPr>
          <w:ilvl w:val="0"/>
          <w:numId w:val="1"/>
        </w:numPr>
        <w:rPr>
          <w:sz w:val="22"/>
        </w:rPr>
      </w:pPr>
      <w:r w:rsidRPr="005C3A80">
        <w:rPr>
          <w:sz w:val="22"/>
        </w:rPr>
        <w:t>Measure density at lumbar spine and femur, then compared to gender and ethnicity-matched controls</w:t>
      </w:r>
    </w:p>
    <w:p w:rsidR="001742DC" w:rsidRPr="005C3A80" w:rsidRDefault="001742DC" w:rsidP="001742DC">
      <w:pPr>
        <w:ind w:hanging="360"/>
        <w:rPr>
          <w:sz w:val="22"/>
        </w:rPr>
      </w:pPr>
      <w:r w:rsidRPr="005C3A80">
        <w:rPr>
          <w:sz w:val="22"/>
        </w:rPr>
        <w:tab/>
      </w:r>
      <w:r w:rsidRPr="005C3A80">
        <w:rPr>
          <w:sz w:val="22"/>
        </w:rPr>
        <w:tab/>
        <w:t xml:space="preserve">BMD 1.0 - </w:t>
      </w:r>
      <w:proofErr w:type="gramStart"/>
      <w:r w:rsidRPr="005C3A80">
        <w:rPr>
          <w:sz w:val="22"/>
        </w:rPr>
        <w:t>2.5  SD</w:t>
      </w:r>
      <w:proofErr w:type="gramEnd"/>
      <w:r w:rsidRPr="005C3A80">
        <w:rPr>
          <w:sz w:val="22"/>
        </w:rPr>
        <w:t xml:space="preserve"> below mean = </w:t>
      </w:r>
      <w:r w:rsidRPr="005C3A80">
        <w:rPr>
          <w:b/>
          <w:i/>
          <w:sz w:val="22"/>
        </w:rPr>
        <w:t>Osteopenia</w:t>
      </w:r>
    </w:p>
    <w:p w:rsidR="001742DC" w:rsidRPr="005C3A80" w:rsidRDefault="001742DC" w:rsidP="001742DC">
      <w:pPr>
        <w:ind w:firstLine="720"/>
        <w:rPr>
          <w:sz w:val="22"/>
        </w:rPr>
      </w:pPr>
      <w:r w:rsidRPr="005C3A80">
        <w:rPr>
          <w:sz w:val="22"/>
        </w:rPr>
        <w:t xml:space="preserve">BMD  &gt; </w:t>
      </w:r>
      <w:proofErr w:type="gramStart"/>
      <w:r w:rsidRPr="005C3A80">
        <w:rPr>
          <w:sz w:val="22"/>
        </w:rPr>
        <w:t>2.5  below</w:t>
      </w:r>
      <w:proofErr w:type="gramEnd"/>
      <w:r w:rsidRPr="005C3A80">
        <w:rPr>
          <w:sz w:val="22"/>
        </w:rPr>
        <w:t xml:space="preserve"> mean = </w:t>
      </w:r>
      <w:r w:rsidRPr="005C3A80">
        <w:rPr>
          <w:b/>
          <w:i/>
          <w:sz w:val="22"/>
        </w:rPr>
        <w:t>Osteoporosis</w:t>
      </w:r>
    </w:p>
    <w:p w:rsidR="001742DC" w:rsidRPr="005C3A80" w:rsidRDefault="001742DC" w:rsidP="001742DC">
      <w:pPr>
        <w:rPr>
          <w:b/>
          <w:bCs/>
          <w:sz w:val="22"/>
        </w:rPr>
      </w:pPr>
    </w:p>
    <w:p w:rsidR="001742DC" w:rsidRPr="005C3A80" w:rsidRDefault="001742DC" w:rsidP="001742DC">
      <w:pPr>
        <w:rPr>
          <w:b/>
          <w:bCs/>
          <w:sz w:val="22"/>
        </w:rPr>
      </w:pPr>
      <w:r w:rsidRPr="005C3A80">
        <w:rPr>
          <w:b/>
          <w:bCs/>
          <w:sz w:val="22"/>
          <w:u w:val="single"/>
        </w:rPr>
        <w:t>Management</w:t>
      </w:r>
    </w:p>
    <w:p w:rsidR="001742DC" w:rsidRPr="005C3A80" w:rsidRDefault="001742DC" w:rsidP="001742DC">
      <w:pPr>
        <w:numPr>
          <w:ilvl w:val="0"/>
          <w:numId w:val="3"/>
        </w:numPr>
        <w:rPr>
          <w:sz w:val="22"/>
        </w:rPr>
      </w:pPr>
      <w:r w:rsidRPr="005C3A80">
        <w:rPr>
          <w:sz w:val="22"/>
        </w:rPr>
        <w:t xml:space="preserve">Council all patients about primary prevention of osteoporosis </w:t>
      </w:r>
    </w:p>
    <w:p w:rsidR="001742DC" w:rsidRPr="005C3A80" w:rsidRDefault="001742DC" w:rsidP="001742DC">
      <w:pPr>
        <w:ind w:left="720"/>
        <w:rPr>
          <w:sz w:val="22"/>
        </w:rPr>
      </w:pPr>
      <w:r w:rsidRPr="005C3A80">
        <w:rPr>
          <w:sz w:val="22"/>
        </w:rPr>
        <w:t>- Weight bearing endurance exercise (</w:t>
      </w:r>
      <w:r w:rsidRPr="005C3A80">
        <w:rPr>
          <w:sz w:val="16"/>
        </w:rPr>
        <w:t>20-60 min 4-7 x/</w:t>
      </w:r>
      <w:proofErr w:type="spellStart"/>
      <w:r w:rsidRPr="005C3A80">
        <w:rPr>
          <w:sz w:val="16"/>
        </w:rPr>
        <w:t>wk</w:t>
      </w:r>
      <w:proofErr w:type="spellEnd"/>
      <w:r w:rsidRPr="005C3A80">
        <w:rPr>
          <w:sz w:val="22"/>
        </w:rPr>
        <w:t>), balance &amp; strengthening (</w:t>
      </w:r>
      <w:r w:rsidRPr="005C3A80">
        <w:rPr>
          <w:sz w:val="16"/>
        </w:rPr>
        <w:t>2-4x/</w:t>
      </w:r>
      <w:proofErr w:type="spellStart"/>
      <w:r w:rsidRPr="005C3A80">
        <w:rPr>
          <w:sz w:val="16"/>
        </w:rPr>
        <w:t>wk</w:t>
      </w:r>
      <w:proofErr w:type="spellEnd"/>
      <w:r w:rsidRPr="005C3A80">
        <w:rPr>
          <w:sz w:val="22"/>
        </w:rPr>
        <w:t>) exercises</w:t>
      </w:r>
    </w:p>
    <w:p w:rsidR="001742DC" w:rsidRPr="005C3A80" w:rsidRDefault="001742DC" w:rsidP="001742DC">
      <w:pPr>
        <w:ind w:left="720" w:hanging="360"/>
        <w:rPr>
          <w:sz w:val="22"/>
        </w:rPr>
      </w:pPr>
      <w:r w:rsidRPr="005C3A80">
        <w:rPr>
          <w:sz w:val="22"/>
        </w:rPr>
        <w:tab/>
        <w:t>- Smoking cessation</w:t>
      </w:r>
    </w:p>
    <w:p w:rsidR="001742DC" w:rsidRPr="005C3A80" w:rsidRDefault="001742DC" w:rsidP="001742DC">
      <w:pPr>
        <w:ind w:left="720" w:hanging="360"/>
        <w:rPr>
          <w:sz w:val="22"/>
        </w:rPr>
      </w:pPr>
      <w:r w:rsidRPr="005C3A80">
        <w:rPr>
          <w:sz w:val="22"/>
        </w:rPr>
        <w:tab/>
        <w:t xml:space="preserve">- Caffeine and </w:t>
      </w:r>
      <w:proofErr w:type="spellStart"/>
      <w:r w:rsidRPr="005C3A80">
        <w:rPr>
          <w:sz w:val="22"/>
        </w:rPr>
        <w:t>EtOH</w:t>
      </w:r>
      <w:proofErr w:type="spellEnd"/>
      <w:r w:rsidRPr="005C3A80">
        <w:rPr>
          <w:sz w:val="22"/>
        </w:rPr>
        <w:t xml:space="preserve"> reduction</w:t>
      </w:r>
    </w:p>
    <w:p w:rsidR="001742DC" w:rsidRPr="005C3A80" w:rsidRDefault="001742DC" w:rsidP="001742DC">
      <w:pPr>
        <w:ind w:left="720" w:hanging="360"/>
        <w:rPr>
          <w:sz w:val="22"/>
        </w:rPr>
      </w:pPr>
      <w:r w:rsidRPr="005C3A80">
        <w:rPr>
          <w:sz w:val="22"/>
        </w:rPr>
        <w:tab/>
        <w:t>- Dietary or supplemental calcium (</w:t>
      </w:r>
      <w:r w:rsidRPr="005C3A80">
        <w:rPr>
          <w:sz w:val="16"/>
        </w:rPr>
        <w:t>1200mg/d</w:t>
      </w:r>
      <w:r w:rsidRPr="005C3A80">
        <w:rPr>
          <w:sz w:val="22"/>
        </w:rPr>
        <w:t>) and vitamin D (</w:t>
      </w:r>
      <w:r w:rsidRPr="005C3A80">
        <w:rPr>
          <w:sz w:val="16"/>
        </w:rPr>
        <w:t>400-2000 IU/day</w:t>
      </w:r>
      <w:r w:rsidRPr="005C3A80">
        <w:rPr>
          <w:sz w:val="22"/>
        </w:rPr>
        <w:t>)</w:t>
      </w:r>
    </w:p>
    <w:p w:rsidR="001742DC" w:rsidRPr="005C3A80" w:rsidRDefault="001742DC" w:rsidP="001742DC">
      <w:pPr>
        <w:numPr>
          <w:ilvl w:val="0"/>
          <w:numId w:val="3"/>
        </w:numPr>
        <w:rPr>
          <w:sz w:val="22"/>
        </w:rPr>
      </w:pPr>
      <w:r w:rsidRPr="005C3A80">
        <w:rPr>
          <w:sz w:val="22"/>
        </w:rPr>
        <w:t xml:space="preserve">Institute a fall prevention program for those at risk </w:t>
      </w:r>
    </w:p>
    <w:p w:rsidR="001742DC" w:rsidRPr="005C3A80" w:rsidRDefault="001742DC" w:rsidP="001742DC">
      <w:pPr>
        <w:ind w:left="720" w:hanging="360"/>
        <w:rPr>
          <w:sz w:val="22"/>
        </w:rPr>
      </w:pPr>
      <w:r w:rsidRPr="005C3A80">
        <w:rPr>
          <w:sz w:val="22"/>
        </w:rPr>
        <w:t xml:space="preserve">      </w:t>
      </w:r>
      <w:r w:rsidRPr="005C3A80">
        <w:rPr>
          <w:sz w:val="22"/>
        </w:rPr>
        <w:tab/>
        <w:t>- Address mobility and sensory impairments, dizziness, urinary frequency, hazards in the home</w:t>
      </w:r>
    </w:p>
    <w:p w:rsidR="001742DC" w:rsidRPr="005C3A80" w:rsidRDefault="001742DC" w:rsidP="001742DC">
      <w:pPr>
        <w:ind w:left="720" w:hanging="360"/>
        <w:rPr>
          <w:sz w:val="22"/>
        </w:rPr>
      </w:pPr>
      <w:r w:rsidRPr="005C3A80">
        <w:rPr>
          <w:sz w:val="22"/>
        </w:rPr>
        <w:tab/>
        <w:t>- Consider hip protectors if high risk and residing in long term care</w:t>
      </w:r>
    </w:p>
    <w:p w:rsidR="001742DC" w:rsidRPr="005C3A80" w:rsidRDefault="001742DC" w:rsidP="001742DC">
      <w:pPr>
        <w:numPr>
          <w:ilvl w:val="0"/>
          <w:numId w:val="3"/>
        </w:numPr>
        <w:rPr>
          <w:sz w:val="22"/>
        </w:rPr>
      </w:pPr>
      <w:r w:rsidRPr="005C3A80">
        <w:rPr>
          <w:sz w:val="22"/>
        </w:rPr>
        <w:t xml:space="preserve">Prevent prescribing meds that increase fall risk </w:t>
      </w:r>
    </w:p>
    <w:p w:rsidR="001742DC" w:rsidRPr="005C3A80" w:rsidRDefault="001742DC" w:rsidP="001742DC">
      <w:pPr>
        <w:ind w:left="720" w:hanging="360"/>
        <w:rPr>
          <w:sz w:val="22"/>
        </w:rPr>
      </w:pPr>
      <w:r w:rsidRPr="005C3A80">
        <w:rPr>
          <w:sz w:val="22"/>
        </w:rPr>
        <w:tab/>
        <w:t xml:space="preserve">- Oral hypoglycemic agents, diuretics, anti-cholinergic, anti-hypertensive, psychotropic meds </w:t>
      </w:r>
      <w:proofErr w:type="spellStart"/>
      <w:r w:rsidRPr="005C3A80">
        <w:rPr>
          <w:sz w:val="22"/>
        </w:rPr>
        <w:t>etc</w:t>
      </w:r>
      <w:proofErr w:type="spellEnd"/>
    </w:p>
    <w:p w:rsidR="001742DC" w:rsidRPr="005C3A80" w:rsidRDefault="001742DC" w:rsidP="001742DC">
      <w:pPr>
        <w:numPr>
          <w:ilvl w:val="0"/>
          <w:numId w:val="3"/>
        </w:numPr>
        <w:rPr>
          <w:sz w:val="22"/>
        </w:rPr>
      </w:pPr>
      <w:r w:rsidRPr="005C3A80">
        <w:rPr>
          <w:sz w:val="22"/>
        </w:rPr>
        <w:t>Correct a reversible cause if there is one</w:t>
      </w:r>
    </w:p>
    <w:p w:rsidR="001742DC" w:rsidRPr="005C3A80" w:rsidRDefault="001742DC" w:rsidP="001742DC">
      <w:pPr>
        <w:numPr>
          <w:ilvl w:val="0"/>
          <w:numId w:val="3"/>
        </w:numPr>
        <w:rPr>
          <w:b/>
          <w:bCs/>
          <w:sz w:val="22"/>
        </w:rPr>
      </w:pPr>
      <w:r w:rsidRPr="005C3A80">
        <w:rPr>
          <w:sz w:val="22"/>
        </w:rPr>
        <w:t>Discontinue osteoporosis-inducing medication if possible</w:t>
      </w:r>
    </w:p>
    <w:p w:rsidR="001742DC" w:rsidRPr="005C3A80" w:rsidRDefault="001742DC" w:rsidP="001742DC">
      <w:pPr>
        <w:ind w:left="720" w:hanging="360"/>
        <w:rPr>
          <w:sz w:val="22"/>
        </w:rPr>
      </w:pPr>
    </w:p>
    <w:p w:rsidR="001742DC" w:rsidRPr="005C3A80" w:rsidRDefault="001742DC" w:rsidP="001742DC">
      <w:pPr>
        <w:rPr>
          <w:b/>
          <w:sz w:val="22"/>
          <w:u w:val="single"/>
        </w:rPr>
      </w:pPr>
      <w:r w:rsidRPr="005C3A80">
        <w:rPr>
          <w:b/>
          <w:sz w:val="22"/>
          <w:u w:val="single"/>
        </w:rPr>
        <w:t>Treatment</w:t>
      </w:r>
    </w:p>
    <w:p w:rsidR="001742DC" w:rsidRPr="005C3A80" w:rsidRDefault="001742DC" w:rsidP="001742DC">
      <w:pPr>
        <w:ind w:left="360"/>
        <w:rPr>
          <w:sz w:val="22"/>
        </w:rPr>
      </w:pPr>
      <w:r w:rsidRPr="005C3A80">
        <w:rPr>
          <w:sz w:val="22"/>
        </w:rPr>
        <w:t>Pharmacotherapy reduces risk of vertebral fracture by 30-70%</w:t>
      </w:r>
    </w:p>
    <w:p w:rsidR="001742DC" w:rsidRPr="005C3A80" w:rsidRDefault="001742DC" w:rsidP="001742DC">
      <w:pPr>
        <w:ind w:left="360"/>
        <w:rPr>
          <w:sz w:val="22"/>
        </w:rPr>
      </w:pPr>
      <w:r w:rsidRPr="005C3A80">
        <w:rPr>
          <w:sz w:val="22"/>
        </w:rPr>
        <w:t xml:space="preserve">Canadian guidelines recommend treatment based on FRAX or CAROC 10 </w:t>
      </w:r>
      <w:proofErr w:type="spellStart"/>
      <w:r w:rsidRPr="005C3A80">
        <w:rPr>
          <w:sz w:val="22"/>
        </w:rPr>
        <w:t>yr</w:t>
      </w:r>
      <w:proofErr w:type="spellEnd"/>
      <w:r w:rsidRPr="005C3A80">
        <w:rPr>
          <w:sz w:val="22"/>
        </w:rPr>
        <w:t xml:space="preserve"> fracture risk:</w:t>
      </w:r>
    </w:p>
    <w:p w:rsidR="001742DC" w:rsidRPr="005C3A80" w:rsidRDefault="001742DC" w:rsidP="001742DC">
      <w:pPr>
        <w:numPr>
          <w:ilvl w:val="0"/>
          <w:numId w:val="4"/>
        </w:numPr>
        <w:ind w:left="720"/>
        <w:rPr>
          <w:sz w:val="22"/>
        </w:rPr>
      </w:pPr>
      <w:r w:rsidRPr="005C3A80">
        <w:rPr>
          <w:i/>
          <w:sz w:val="22"/>
        </w:rPr>
        <w:t>High Risk</w:t>
      </w:r>
      <w:r w:rsidRPr="005C3A80">
        <w:rPr>
          <w:sz w:val="22"/>
        </w:rPr>
        <w:t xml:space="preserve"> (</w:t>
      </w:r>
      <w:r w:rsidRPr="005C3A80">
        <w:rPr>
          <w:sz w:val="16"/>
        </w:rPr>
        <w:t xml:space="preserve">&gt;20%) </w:t>
      </w:r>
      <w:r w:rsidRPr="005C3A80">
        <w:rPr>
          <w:sz w:val="22"/>
        </w:rPr>
        <w:t>or &gt;50yrs with fragility fracture of hip/vertebra or &gt;1 fragility fracture = pharmacological treatment</w:t>
      </w:r>
    </w:p>
    <w:p w:rsidR="001742DC" w:rsidRPr="005C3A80" w:rsidRDefault="001742DC" w:rsidP="001742DC">
      <w:pPr>
        <w:numPr>
          <w:ilvl w:val="0"/>
          <w:numId w:val="4"/>
        </w:numPr>
        <w:ind w:left="720"/>
        <w:rPr>
          <w:sz w:val="22"/>
        </w:rPr>
      </w:pPr>
      <w:r w:rsidRPr="005C3A80">
        <w:rPr>
          <w:i/>
          <w:sz w:val="22"/>
        </w:rPr>
        <w:t>Mod Risk</w:t>
      </w:r>
      <w:r w:rsidRPr="005C3A80">
        <w:rPr>
          <w:sz w:val="22"/>
        </w:rPr>
        <w:t xml:space="preserve"> (</w:t>
      </w:r>
      <w:r w:rsidRPr="005C3A80">
        <w:rPr>
          <w:sz w:val="16"/>
        </w:rPr>
        <w:t>10-20%</w:t>
      </w:r>
      <w:r w:rsidRPr="005C3A80">
        <w:rPr>
          <w:sz w:val="22"/>
        </w:rPr>
        <w:t>) – decision to treat with pharmacotherapy based on patient preference and additional risk factors (</w:t>
      </w:r>
      <w:r w:rsidRPr="005C3A80">
        <w:rPr>
          <w:sz w:val="16"/>
        </w:rPr>
        <w:t xml:space="preserve">additional vertebral #, </w:t>
      </w:r>
      <w:proofErr w:type="spellStart"/>
      <w:r w:rsidRPr="005C3A80">
        <w:rPr>
          <w:sz w:val="16"/>
        </w:rPr>
        <w:t>prev</w:t>
      </w:r>
      <w:proofErr w:type="spellEnd"/>
      <w:r w:rsidRPr="005C3A80">
        <w:rPr>
          <w:sz w:val="16"/>
        </w:rPr>
        <w:t xml:space="preserve"> wrist # if &gt;65 and T-score </w:t>
      </w:r>
      <w:r w:rsidRPr="005C3A80">
        <w:rPr>
          <w:sz w:val="16"/>
          <w:u w:val="single"/>
        </w:rPr>
        <w:t>&lt;</w:t>
      </w:r>
      <w:r w:rsidRPr="005C3A80">
        <w:rPr>
          <w:sz w:val="16"/>
        </w:rPr>
        <w:t xml:space="preserve"> -2.5, T-score lumbar spine &lt;&lt;femoral neck, rapid bone loss, men on androgen-deprivation therapy for prostate CA, women on aromatase </w:t>
      </w:r>
      <w:proofErr w:type="spellStart"/>
      <w:r w:rsidRPr="005C3A80">
        <w:rPr>
          <w:sz w:val="16"/>
        </w:rPr>
        <w:t>inhib</w:t>
      </w:r>
      <w:proofErr w:type="spellEnd"/>
      <w:r w:rsidRPr="005C3A80">
        <w:rPr>
          <w:sz w:val="16"/>
        </w:rPr>
        <w:t xml:space="preserve"> therapy for breast CA, long term/repeated systemic steroid use, </w:t>
      </w:r>
      <w:r w:rsidRPr="005C3A80">
        <w:rPr>
          <w:sz w:val="16"/>
          <w:u w:val="single"/>
        </w:rPr>
        <w:t>&gt;</w:t>
      </w:r>
      <w:r w:rsidRPr="005C3A80">
        <w:rPr>
          <w:sz w:val="16"/>
        </w:rPr>
        <w:t>2 falls in past year, other d/o strongly associated with osteoporosis, rapid bone loss/#’s</w:t>
      </w:r>
      <w:r w:rsidRPr="005C3A80">
        <w:rPr>
          <w:sz w:val="22"/>
        </w:rPr>
        <w:t>)</w:t>
      </w:r>
    </w:p>
    <w:p w:rsidR="001742DC" w:rsidRPr="005C3A80" w:rsidRDefault="001742DC" w:rsidP="001742DC">
      <w:pPr>
        <w:numPr>
          <w:ilvl w:val="0"/>
          <w:numId w:val="4"/>
        </w:numPr>
        <w:ind w:left="720"/>
        <w:rPr>
          <w:sz w:val="22"/>
        </w:rPr>
      </w:pPr>
      <w:r w:rsidRPr="005C3A80">
        <w:rPr>
          <w:i/>
          <w:sz w:val="22"/>
        </w:rPr>
        <w:t>Low Risk</w:t>
      </w:r>
      <w:r w:rsidRPr="005C3A80">
        <w:rPr>
          <w:sz w:val="22"/>
        </w:rPr>
        <w:t xml:space="preserve"> (</w:t>
      </w:r>
      <w:r w:rsidRPr="005C3A80">
        <w:rPr>
          <w:sz w:val="16"/>
        </w:rPr>
        <w:t xml:space="preserve">&lt;10%) </w:t>
      </w:r>
      <w:r w:rsidRPr="005C3A80">
        <w:rPr>
          <w:sz w:val="22"/>
        </w:rPr>
        <w:t>– lifestyle measures are sufficient</w:t>
      </w:r>
    </w:p>
    <w:p w:rsidR="001742DC" w:rsidRPr="005C3A80" w:rsidRDefault="001742DC" w:rsidP="001742DC">
      <w:pPr>
        <w:ind w:left="360"/>
        <w:rPr>
          <w:sz w:val="22"/>
        </w:rPr>
      </w:pPr>
      <w:r w:rsidRPr="005C3A80">
        <w:rPr>
          <w:sz w:val="22"/>
        </w:rPr>
        <w:t>For menopausal women,</w:t>
      </w:r>
    </w:p>
    <w:p w:rsidR="001742DC" w:rsidRPr="005C3A80" w:rsidRDefault="001742DC" w:rsidP="001742DC">
      <w:pPr>
        <w:numPr>
          <w:ilvl w:val="0"/>
          <w:numId w:val="3"/>
        </w:numPr>
        <w:rPr>
          <w:sz w:val="22"/>
        </w:rPr>
      </w:pPr>
      <w:proofErr w:type="spellStart"/>
      <w:r w:rsidRPr="005C3A80">
        <w:rPr>
          <w:sz w:val="22"/>
        </w:rPr>
        <w:t>Bisphosponates</w:t>
      </w:r>
      <w:proofErr w:type="spellEnd"/>
      <w:r w:rsidRPr="005C3A80">
        <w:rPr>
          <w:sz w:val="22"/>
        </w:rPr>
        <w:t xml:space="preserve"> (</w:t>
      </w:r>
      <w:r w:rsidRPr="005C3A80">
        <w:rPr>
          <w:sz w:val="16"/>
        </w:rPr>
        <w:t xml:space="preserve">alendronate or </w:t>
      </w:r>
      <w:proofErr w:type="spellStart"/>
      <w:r w:rsidRPr="005C3A80">
        <w:rPr>
          <w:sz w:val="16"/>
        </w:rPr>
        <w:t>risendronate</w:t>
      </w:r>
      <w:proofErr w:type="spellEnd"/>
      <w:r w:rsidRPr="005C3A80">
        <w:rPr>
          <w:sz w:val="16"/>
        </w:rPr>
        <w:t>)</w:t>
      </w:r>
      <w:r w:rsidRPr="005C3A80">
        <w:rPr>
          <w:sz w:val="22"/>
        </w:rPr>
        <w:t xml:space="preserve"> - prevents hip, </w:t>
      </w:r>
      <w:proofErr w:type="spellStart"/>
      <w:r w:rsidRPr="005C3A80">
        <w:rPr>
          <w:sz w:val="22"/>
        </w:rPr>
        <w:t>nonvertebral</w:t>
      </w:r>
      <w:proofErr w:type="spellEnd"/>
      <w:r w:rsidRPr="005C3A80">
        <w:rPr>
          <w:sz w:val="22"/>
        </w:rPr>
        <w:t xml:space="preserve"> and vertebral fractures</w:t>
      </w:r>
    </w:p>
    <w:p w:rsidR="001742DC" w:rsidRPr="005C3A80" w:rsidRDefault="001742DC" w:rsidP="001742DC">
      <w:pPr>
        <w:numPr>
          <w:ilvl w:val="0"/>
          <w:numId w:val="3"/>
        </w:numPr>
        <w:rPr>
          <w:sz w:val="22"/>
        </w:rPr>
      </w:pPr>
      <w:r w:rsidRPr="005C3A80">
        <w:rPr>
          <w:sz w:val="22"/>
        </w:rPr>
        <w:t>Selective estrogen-receptor modulator SERM (</w:t>
      </w:r>
      <w:proofErr w:type="spellStart"/>
      <w:r w:rsidRPr="005C3A80">
        <w:rPr>
          <w:sz w:val="16"/>
        </w:rPr>
        <w:t>raloxifene</w:t>
      </w:r>
      <w:proofErr w:type="spellEnd"/>
      <w:r w:rsidRPr="005C3A80">
        <w:rPr>
          <w:sz w:val="22"/>
        </w:rPr>
        <w:t>) - prevents hip fractures</w:t>
      </w:r>
    </w:p>
    <w:p w:rsidR="001742DC" w:rsidRPr="005C3A80" w:rsidRDefault="001742DC" w:rsidP="001742DC">
      <w:pPr>
        <w:numPr>
          <w:ilvl w:val="0"/>
          <w:numId w:val="3"/>
        </w:numPr>
        <w:rPr>
          <w:sz w:val="22"/>
        </w:rPr>
      </w:pPr>
      <w:r w:rsidRPr="005C3A80">
        <w:rPr>
          <w:sz w:val="22"/>
        </w:rPr>
        <w:t xml:space="preserve">HRT – if woman has vasomotor </w:t>
      </w:r>
      <w:proofErr w:type="spellStart"/>
      <w:r w:rsidRPr="005C3A80">
        <w:rPr>
          <w:sz w:val="22"/>
        </w:rPr>
        <w:t>Sx</w:t>
      </w:r>
      <w:proofErr w:type="spellEnd"/>
      <w:r w:rsidRPr="005C3A80">
        <w:rPr>
          <w:sz w:val="22"/>
        </w:rPr>
        <w:t xml:space="preserve"> – prevents hip, </w:t>
      </w:r>
      <w:proofErr w:type="spellStart"/>
      <w:r w:rsidRPr="005C3A80">
        <w:rPr>
          <w:sz w:val="22"/>
        </w:rPr>
        <w:t>nonvertebral</w:t>
      </w:r>
      <w:proofErr w:type="spellEnd"/>
      <w:r w:rsidRPr="005C3A80">
        <w:rPr>
          <w:sz w:val="22"/>
        </w:rPr>
        <w:t xml:space="preserve"> and vertebral fractures</w:t>
      </w:r>
    </w:p>
    <w:p w:rsidR="001742DC" w:rsidRPr="005C3A80" w:rsidRDefault="001742DC" w:rsidP="001742DC">
      <w:pPr>
        <w:numPr>
          <w:ilvl w:val="0"/>
          <w:numId w:val="3"/>
        </w:numPr>
        <w:rPr>
          <w:sz w:val="22"/>
        </w:rPr>
      </w:pPr>
      <w:r w:rsidRPr="005C3A80">
        <w:rPr>
          <w:sz w:val="22"/>
        </w:rPr>
        <w:t xml:space="preserve">If intolerant of first line therapies – calcitonin or </w:t>
      </w:r>
      <w:proofErr w:type="spellStart"/>
      <w:r w:rsidRPr="005C3A80">
        <w:rPr>
          <w:sz w:val="22"/>
        </w:rPr>
        <w:t>etidronate</w:t>
      </w:r>
      <w:proofErr w:type="spellEnd"/>
      <w:r w:rsidRPr="005C3A80">
        <w:rPr>
          <w:sz w:val="22"/>
        </w:rPr>
        <w:t xml:space="preserve"> – prevents vertebral fractures</w:t>
      </w:r>
    </w:p>
    <w:p w:rsidR="001742DC" w:rsidRPr="005C3A80" w:rsidRDefault="001742DC" w:rsidP="001742DC">
      <w:pPr>
        <w:pStyle w:val="ListParagraph"/>
        <w:numPr>
          <w:ilvl w:val="0"/>
          <w:numId w:val="3"/>
        </w:numPr>
        <w:rPr>
          <w:sz w:val="22"/>
        </w:rPr>
      </w:pPr>
      <w:r w:rsidRPr="005C3A80">
        <w:rPr>
          <w:sz w:val="22"/>
        </w:rPr>
        <w:t>PTH or calcitonin – if has had previous fracture</w:t>
      </w:r>
    </w:p>
    <w:p w:rsidR="001742DC" w:rsidRPr="005C3A80" w:rsidRDefault="001742DC" w:rsidP="001742DC">
      <w:pPr>
        <w:ind w:firstLine="360"/>
        <w:rPr>
          <w:sz w:val="22"/>
        </w:rPr>
      </w:pPr>
      <w:r w:rsidRPr="005C3A80">
        <w:rPr>
          <w:sz w:val="22"/>
        </w:rPr>
        <w:t>For men,</w:t>
      </w:r>
    </w:p>
    <w:p w:rsidR="001742DC" w:rsidRPr="005C3A80" w:rsidRDefault="001742DC" w:rsidP="001742DC">
      <w:pPr>
        <w:pStyle w:val="ListParagraph"/>
        <w:numPr>
          <w:ilvl w:val="0"/>
          <w:numId w:val="3"/>
        </w:numPr>
        <w:rPr>
          <w:sz w:val="22"/>
        </w:rPr>
      </w:pPr>
      <w:r w:rsidRPr="005C3A80">
        <w:rPr>
          <w:sz w:val="22"/>
        </w:rPr>
        <w:t>Bisphosphonates</w:t>
      </w:r>
    </w:p>
    <w:p w:rsidR="001742DC" w:rsidRPr="005C3A80" w:rsidRDefault="001742DC" w:rsidP="001742DC">
      <w:pPr>
        <w:pStyle w:val="ListParagraph"/>
        <w:numPr>
          <w:ilvl w:val="0"/>
          <w:numId w:val="3"/>
        </w:numPr>
        <w:rPr>
          <w:sz w:val="22"/>
        </w:rPr>
      </w:pPr>
      <w:r w:rsidRPr="005C3A80">
        <w:rPr>
          <w:sz w:val="22"/>
        </w:rPr>
        <w:t>Testosterone not recommended</w:t>
      </w:r>
    </w:p>
    <w:p w:rsidR="001742DC" w:rsidRPr="005C3A80" w:rsidRDefault="001742DC" w:rsidP="001742DC">
      <w:pPr>
        <w:rPr>
          <w:b/>
          <w:bCs/>
          <w:sz w:val="22"/>
        </w:rPr>
      </w:pPr>
    </w:p>
    <w:p w:rsidR="001742DC" w:rsidRPr="005C3A80" w:rsidRDefault="001742DC" w:rsidP="001742DC">
      <w:pPr>
        <w:rPr>
          <w:b/>
          <w:bCs/>
          <w:sz w:val="22"/>
        </w:rPr>
      </w:pPr>
      <w:r w:rsidRPr="005C3A80">
        <w:rPr>
          <w:b/>
          <w:bCs/>
          <w:sz w:val="22"/>
        </w:rPr>
        <w:t>Sources:</w:t>
      </w:r>
    </w:p>
    <w:p w:rsidR="001742DC" w:rsidRPr="005C3A80" w:rsidRDefault="001742DC" w:rsidP="001742DC">
      <w:pPr>
        <w:pStyle w:val="NoSpacing"/>
      </w:pPr>
      <w:r w:rsidRPr="005C3A80">
        <w:t xml:space="preserve">1. </w:t>
      </w:r>
      <w:proofErr w:type="spellStart"/>
      <w:r w:rsidRPr="005C3A80">
        <w:rPr>
          <w:rFonts w:cs="Frutiger-Bold"/>
          <w:bCs/>
        </w:rPr>
        <w:t>Papaioannou</w:t>
      </w:r>
      <w:proofErr w:type="spellEnd"/>
      <w:r w:rsidRPr="005C3A80">
        <w:rPr>
          <w:rFonts w:cs="Frutiger-Bold"/>
          <w:bCs/>
        </w:rPr>
        <w:t xml:space="preserve"> et al.</w:t>
      </w:r>
      <w:r w:rsidRPr="005C3A80">
        <w:rPr>
          <w:rFonts w:cs="Frutiger-Bold"/>
          <w:b/>
          <w:bCs/>
        </w:rPr>
        <w:t xml:space="preserve"> </w:t>
      </w:r>
      <w:r w:rsidRPr="005C3A80">
        <w:t xml:space="preserve">2010 clinical practice guidelines for the diagnosis and management of osteoporosis in Canada: summary. </w:t>
      </w:r>
      <w:r w:rsidRPr="005C3A80">
        <w:rPr>
          <w:rStyle w:val="HTMLCite"/>
        </w:rPr>
        <w:t>CMAJ</w:t>
      </w:r>
      <w:r w:rsidRPr="005C3A80">
        <w:rPr>
          <w:rStyle w:val="slug-pub-date"/>
          <w:i/>
          <w:iCs/>
        </w:rPr>
        <w:t xml:space="preserve"> November 23, 2010 </w:t>
      </w:r>
      <w:r w:rsidRPr="005C3A80">
        <w:rPr>
          <w:rStyle w:val="slug-vol"/>
          <w:i/>
          <w:iCs/>
        </w:rPr>
        <w:t xml:space="preserve">vol. 182 </w:t>
      </w:r>
      <w:r w:rsidRPr="005C3A80">
        <w:rPr>
          <w:rStyle w:val="slug-issue"/>
          <w:i/>
          <w:iCs/>
        </w:rPr>
        <w:t>no. 17</w:t>
      </w:r>
    </w:p>
    <w:p w:rsidR="001742DC" w:rsidRPr="005C3A80" w:rsidRDefault="001742DC" w:rsidP="001742DC">
      <w:pPr>
        <w:rPr>
          <w:sz w:val="22"/>
        </w:rPr>
      </w:pPr>
      <w:r w:rsidRPr="005C3A80">
        <w:rPr>
          <w:sz w:val="22"/>
        </w:rPr>
        <w:t>2. Toronto Notes 2010</w:t>
      </w:r>
    </w:p>
    <w:p w:rsidR="00193D8D" w:rsidRPr="001742DC" w:rsidRDefault="001742DC">
      <w:pPr>
        <w:rPr>
          <w:sz w:val="22"/>
        </w:rPr>
      </w:pPr>
      <w:r w:rsidRPr="005C3A80">
        <w:rPr>
          <w:sz w:val="22"/>
        </w:rPr>
        <w:t>3. BC Guidelines – Osteoporosis: Diagnosis, Treatment and Fracture Prevention. 2011</w:t>
      </w:r>
      <w:bookmarkStart w:id="0" w:name="_GoBack"/>
      <w:bookmarkEnd w:id="0"/>
    </w:p>
    <w:sectPr w:rsidR="00193D8D" w:rsidRPr="001742DC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C6" w:rsidRDefault="001742DC">
    <w:pPr>
      <w:pStyle w:val="FreeForm"/>
      <w:rPr>
        <w:rFonts w:ascii="Times New Roman" w:eastAsia="Times New Roman" w:hAnsi="Times New Roman"/>
        <w:color w:val="auto"/>
        <w:sz w:val="20"/>
        <w:lang w:val="en-C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C6" w:rsidRDefault="001742DC">
    <w:pPr>
      <w:pStyle w:val="FreeForm"/>
      <w:rPr>
        <w:rFonts w:ascii="Times New Roman" w:eastAsia="Times New Roman" w:hAnsi="Times New Roman"/>
        <w:color w:val="auto"/>
        <w:sz w:val="20"/>
        <w:lang w:val="en-CA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C6" w:rsidRDefault="001742DC">
    <w:pPr>
      <w:pStyle w:val="FreeForm"/>
      <w:rPr>
        <w:rFonts w:ascii="Times New Roman" w:eastAsia="Times New Roman" w:hAnsi="Times New Roman"/>
        <w:color w:val="auto"/>
        <w:sz w:val="20"/>
        <w:lang w:val="en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C6" w:rsidRDefault="001742DC">
    <w:pPr>
      <w:pStyle w:val="FreeForm"/>
      <w:rPr>
        <w:rFonts w:ascii="Times New Roman" w:eastAsia="Times New Roman" w:hAnsi="Times New Roman"/>
        <w:color w:val="auto"/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3F1"/>
    <w:multiLevelType w:val="hybridMultilevel"/>
    <w:tmpl w:val="702A5C9E"/>
    <w:lvl w:ilvl="0" w:tplc="240E8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37258"/>
    <w:multiLevelType w:val="hybridMultilevel"/>
    <w:tmpl w:val="B25852C6"/>
    <w:lvl w:ilvl="0" w:tplc="240E8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1782D"/>
    <w:multiLevelType w:val="hybridMultilevel"/>
    <w:tmpl w:val="116008B8"/>
    <w:lvl w:ilvl="0" w:tplc="298AA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7125D2F"/>
    <w:multiLevelType w:val="hybridMultilevel"/>
    <w:tmpl w:val="2ABA75D8"/>
    <w:styleLink w:val="List21"/>
    <w:lvl w:ilvl="0" w:tplc="240E83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E4B02CD"/>
    <w:multiLevelType w:val="hybridMultilevel"/>
    <w:tmpl w:val="81E0D11A"/>
    <w:styleLink w:val="List20"/>
    <w:lvl w:ilvl="0" w:tplc="240E8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DC"/>
    <w:rsid w:val="001742DC"/>
    <w:rsid w:val="00193D8D"/>
    <w:rsid w:val="007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DC"/>
    <w:rPr>
      <w:rFonts w:ascii="Helvetica" w:eastAsia="Helvetica" w:hAnsi="Helvetic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742DC"/>
    <w:pPr>
      <w:keepNext/>
      <w:outlineLvl w:val="0"/>
    </w:pPr>
    <w:rPr>
      <w:rFonts w:ascii="Times" w:eastAsia="MS Mincho" w:hAnsi="Times"/>
      <w:b/>
      <w:iCs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2DC"/>
    <w:rPr>
      <w:rFonts w:ascii="Times" w:eastAsia="MS Mincho" w:hAnsi="Times" w:cs="Times New Roman"/>
      <w:b/>
      <w:iCs/>
      <w:szCs w:val="20"/>
      <w:u w:val="single"/>
      <w:lang w:bidi="en-US"/>
    </w:rPr>
  </w:style>
  <w:style w:type="paragraph" w:customStyle="1" w:styleId="FreeForm">
    <w:name w:val="Free Form"/>
    <w:autoRedefine/>
    <w:rsid w:val="001742DC"/>
    <w:pPr>
      <w:spacing w:after="200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1742DC"/>
    <w:pPr>
      <w:ind w:left="720"/>
      <w:contextualSpacing/>
    </w:pPr>
    <w:rPr>
      <w:rFonts w:ascii="Calibri" w:eastAsia="Times New Roman" w:hAnsi="Calibri"/>
      <w:szCs w:val="24"/>
      <w:lang w:eastAsia="ja-JP"/>
    </w:rPr>
  </w:style>
  <w:style w:type="paragraph" w:styleId="NoSpacing">
    <w:name w:val="No Spacing"/>
    <w:qFormat/>
    <w:rsid w:val="001742DC"/>
    <w:rPr>
      <w:rFonts w:ascii="Calibri" w:eastAsia="Calibri" w:hAnsi="Calibri" w:cs="Times New Roman"/>
      <w:sz w:val="22"/>
      <w:szCs w:val="22"/>
    </w:rPr>
  </w:style>
  <w:style w:type="character" w:styleId="HTMLCite">
    <w:name w:val="HTML Cite"/>
    <w:basedOn w:val="DefaultParagraphFont"/>
    <w:semiHidden/>
    <w:rsid w:val="001742DC"/>
    <w:rPr>
      <w:rFonts w:cs="Times New Roman"/>
      <w:i/>
      <w:iCs/>
    </w:rPr>
  </w:style>
  <w:style w:type="character" w:customStyle="1" w:styleId="slug-pub-date">
    <w:name w:val="slug-pub-date"/>
    <w:basedOn w:val="DefaultParagraphFont"/>
    <w:rsid w:val="001742DC"/>
    <w:rPr>
      <w:rFonts w:cs="Times New Roman"/>
    </w:rPr>
  </w:style>
  <w:style w:type="character" w:customStyle="1" w:styleId="slug-vol">
    <w:name w:val="slug-vol"/>
    <w:basedOn w:val="DefaultParagraphFont"/>
    <w:rsid w:val="001742DC"/>
    <w:rPr>
      <w:rFonts w:cs="Times New Roman"/>
    </w:rPr>
  </w:style>
  <w:style w:type="character" w:customStyle="1" w:styleId="slug-issue">
    <w:name w:val="slug-issue"/>
    <w:basedOn w:val="DefaultParagraphFont"/>
    <w:rsid w:val="001742DC"/>
    <w:rPr>
      <w:rFonts w:cs="Times New Roman"/>
    </w:rPr>
  </w:style>
  <w:style w:type="numbering" w:customStyle="1" w:styleId="List20">
    <w:name w:val="List 20"/>
    <w:autoRedefine/>
    <w:rsid w:val="001742DC"/>
    <w:pPr>
      <w:numPr>
        <w:numId w:val="2"/>
      </w:numPr>
    </w:pPr>
  </w:style>
  <w:style w:type="numbering" w:customStyle="1" w:styleId="List21">
    <w:name w:val="List 21"/>
    <w:rsid w:val="001742DC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DC"/>
    <w:rPr>
      <w:rFonts w:ascii="Helvetica" w:eastAsia="Helvetica" w:hAnsi="Helvetic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742DC"/>
    <w:pPr>
      <w:keepNext/>
      <w:outlineLvl w:val="0"/>
    </w:pPr>
    <w:rPr>
      <w:rFonts w:ascii="Times" w:eastAsia="MS Mincho" w:hAnsi="Times"/>
      <w:b/>
      <w:iCs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2DC"/>
    <w:rPr>
      <w:rFonts w:ascii="Times" w:eastAsia="MS Mincho" w:hAnsi="Times" w:cs="Times New Roman"/>
      <w:b/>
      <w:iCs/>
      <w:szCs w:val="20"/>
      <w:u w:val="single"/>
      <w:lang w:bidi="en-US"/>
    </w:rPr>
  </w:style>
  <w:style w:type="paragraph" w:customStyle="1" w:styleId="FreeForm">
    <w:name w:val="Free Form"/>
    <w:autoRedefine/>
    <w:rsid w:val="001742DC"/>
    <w:pPr>
      <w:spacing w:after="200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1742DC"/>
    <w:pPr>
      <w:ind w:left="720"/>
      <w:contextualSpacing/>
    </w:pPr>
    <w:rPr>
      <w:rFonts w:ascii="Calibri" w:eastAsia="Times New Roman" w:hAnsi="Calibri"/>
      <w:szCs w:val="24"/>
      <w:lang w:eastAsia="ja-JP"/>
    </w:rPr>
  </w:style>
  <w:style w:type="paragraph" w:styleId="NoSpacing">
    <w:name w:val="No Spacing"/>
    <w:qFormat/>
    <w:rsid w:val="001742DC"/>
    <w:rPr>
      <w:rFonts w:ascii="Calibri" w:eastAsia="Calibri" w:hAnsi="Calibri" w:cs="Times New Roman"/>
      <w:sz w:val="22"/>
      <w:szCs w:val="22"/>
    </w:rPr>
  </w:style>
  <w:style w:type="character" w:styleId="HTMLCite">
    <w:name w:val="HTML Cite"/>
    <w:basedOn w:val="DefaultParagraphFont"/>
    <w:semiHidden/>
    <w:rsid w:val="001742DC"/>
    <w:rPr>
      <w:rFonts w:cs="Times New Roman"/>
      <w:i/>
      <w:iCs/>
    </w:rPr>
  </w:style>
  <w:style w:type="character" w:customStyle="1" w:styleId="slug-pub-date">
    <w:name w:val="slug-pub-date"/>
    <w:basedOn w:val="DefaultParagraphFont"/>
    <w:rsid w:val="001742DC"/>
    <w:rPr>
      <w:rFonts w:cs="Times New Roman"/>
    </w:rPr>
  </w:style>
  <w:style w:type="character" w:customStyle="1" w:styleId="slug-vol">
    <w:name w:val="slug-vol"/>
    <w:basedOn w:val="DefaultParagraphFont"/>
    <w:rsid w:val="001742DC"/>
    <w:rPr>
      <w:rFonts w:cs="Times New Roman"/>
    </w:rPr>
  </w:style>
  <w:style w:type="character" w:customStyle="1" w:styleId="slug-issue">
    <w:name w:val="slug-issue"/>
    <w:basedOn w:val="DefaultParagraphFont"/>
    <w:rsid w:val="001742DC"/>
    <w:rPr>
      <w:rFonts w:cs="Times New Roman"/>
    </w:rPr>
  </w:style>
  <w:style w:type="numbering" w:customStyle="1" w:styleId="List20">
    <w:name w:val="List 20"/>
    <w:autoRedefine/>
    <w:rsid w:val="001742DC"/>
    <w:pPr>
      <w:numPr>
        <w:numId w:val="2"/>
      </w:numPr>
    </w:pPr>
  </w:style>
  <w:style w:type="numbering" w:customStyle="1" w:styleId="List21">
    <w:name w:val="List 21"/>
    <w:rsid w:val="001742D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4535</Characters>
  <Application>Microsoft Macintosh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2012-02-19T23:45:00Z</dcterms:created>
  <dcterms:modified xsi:type="dcterms:W3CDTF">2012-02-19T23:46:00Z</dcterms:modified>
</cp:coreProperties>
</file>