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6" w:rsidRPr="000E15FA" w:rsidRDefault="00051B16" w:rsidP="00051B16">
      <w:pPr>
        <w:jc w:val="center"/>
        <w:rPr>
          <w:b/>
          <w:u w:val="single"/>
        </w:rPr>
      </w:pPr>
      <w:r w:rsidRPr="000E15FA">
        <w:rPr>
          <w:b/>
          <w:u w:val="single"/>
        </w:rPr>
        <w:t>Breast Lump</w:t>
      </w:r>
      <w:r>
        <w:rPr>
          <w:b/>
          <w:u w:val="single"/>
        </w:rPr>
        <w:t xml:space="preserve"> - Summary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RF’s: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Female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Increases with age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+Fhx: 1</w:t>
      </w:r>
      <w:r w:rsidRPr="00E8311C">
        <w:rPr>
          <w:vertAlign w:val="superscript"/>
        </w:rPr>
        <w:t>st</w:t>
      </w:r>
      <w:r>
        <w:t xml:space="preserve"> degree relative =2x risk, 3</w:t>
      </w:r>
      <w:r w:rsidRPr="00E8311C">
        <w:rPr>
          <w:vertAlign w:val="superscript"/>
        </w:rPr>
        <w:t>rd</w:t>
      </w:r>
      <w:r>
        <w:t xml:space="preserve"> degree=4x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Personal or +FHx breast or ovarian Ca esp before age 40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 xml:space="preserve">Previous breast bx 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High breast density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Nullparity; 1</w:t>
      </w:r>
      <w:r w:rsidRPr="00302C09">
        <w:rPr>
          <w:vertAlign w:val="superscript"/>
        </w:rPr>
        <w:t>st</w:t>
      </w:r>
      <w:r>
        <w:t xml:space="preserve"> preg&gt;30y.o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Radiation exposure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&gt;5yrs HRT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 w:rsidRPr="00D6224E">
        <w:rPr>
          <w:rFonts w:ascii="Bodoni MT" w:hAnsi="Bodoni MT"/>
          <w:sz w:val="20"/>
          <w:szCs w:val="20"/>
        </w:rPr>
        <w:t xml:space="preserve">Breast cancer risk assessment calculator available at </w:t>
      </w:r>
      <w:hyperlink r:id="rId6" w:history="1">
        <w:r w:rsidRPr="00D6224E">
          <w:rPr>
            <w:rStyle w:val="Hyperlink"/>
            <w:rFonts w:ascii="Bodoni MT" w:hAnsi="Bodoni MT"/>
            <w:sz w:val="20"/>
            <w:szCs w:val="20"/>
          </w:rPr>
          <w:t>http://www.cancer.gov/bcrisktool/</w:t>
        </w:r>
      </w:hyperlink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Protective factors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Pregnancy before age 30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Fewer years menstruating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Lactation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Note promotion of overall healthy lifestyle and women’s health promotion; obesity, alcohol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Red Flags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Unilateral non-cyclical pain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Unilateral nipple discharge; watery, serous, serosanguineous, single duct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Breast mass: unilateral, hard, immobile, noncystic, skin retraction, dimpling or edema (peau d’orange)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Hx: postmenopausal, previous hx cancer, fhx breast ca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Screening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Genetic screening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BRCA1/2 if +breast AND ovarian ca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Strong fhx of br and ovarian ca (Ashkenazi Jew)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 xml:space="preserve">Fhx </w:t>
      </w:r>
      <w:proofErr w:type="gramStart"/>
      <w:r>
        <w:t>male  br</w:t>
      </w:r>
      <w:proofErr w:type="gramEnd"/>
      <w:r>
        <w:t xml:space="preserve"> ca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&lt;35y/o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Mammography q1-2yrs-new guideline age 50-69 rather than 40-79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Start 10yrs earlier of first age of Br Ca in first degree relative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Breast self-exam no longer routinely advised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Investigation of breast cancer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U/S</w:t>
      </w:r>
      <w:r>
        <w:sym w:font="Wingdings" w:char="F0E0"/>
      </w:r>
      <w:r>
        <w:t>cystic vs solid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MRI-high sensitivity poor specificity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Galactogram/ductogram for nipple d/c – ductal lesions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Metastatic work up as indicated – bone scan, abdo u/s, cxr, head CT (or CT chest/abdo/pelvis)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Diagnostic mammogram always indicated even if &lt;50y/o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Diagnosis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Needle aspiration if palpable, cystic; send for cytology if blood or cyst doesn’t completely resolve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U/S or mammography guided core needle bx (most common)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Fine needle aspiration (FNA) for palpable solid masses, need experienced practioner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Excisional bx- only as 2</w:t>
      </w:r>
      <w:r w:rsidRPr="003B66DC">
        <w:rPr>
          <w:vertAlign w:val="superscript"/>
        </w:rPr>
        <w:t>nd</w:t>
      </w:r>
      <w:r>
        <w:t xml:space="preserve"> choice to core needle bx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DDx for breast mass: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Benign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Non proliferative: fibrocystic change, cystic mastitis, mammary dysplasia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lastRenderedPageBreak/>
        <w:t xml:space="preserve">Proliferative </w:t>
      </w:r>
      <w:proofErr w:type="gramStart"/>
      <w:r>
        <w:t>-  no</w:t>
      </w:r>
      <w:proofErr w:type="gramEnd"/>
      <w:r>
        <w:t xml:space="preserve"> atypia</w:t>
      </w:r>
    </w:p>
    <w:p w:rsidR="00051B16" w:rsidRDefault="00051B16" w:rsidP="00051B16">
      <w:pPr>
        <w:pStyle w:val="ListParagraph"/>
        <w:numPr>
          <w:ilvl w:val="3"/>
          <w:numId w:val="1"/>
        </w:numPr>
      </w:pPr>
      <w:r>
        <w:t>Fibroadenoma, intraductal papilloma, ductal hyperplasia without atypia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Proliferative – with atypia</w:t>
      </w:r>
    </w:p>
    <w:p w:rsidR="00051B16" w:rsidRDefault="00051B16" w:rsidP="00051B16">
      <w:pPr>
        <w:pStyle w:val="ListParagraph"/>
        <w:numPr>
          <w:ilvl w:val="3"/>
          <w:numId w:val="1"/>
        </w:numPr>
      </w:pPr>
      <w:r>
        <w:t>Atypical hyperplasias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Others - Fat necrosis, mammary duct ectasia, Montgomery tubercle, abscess, galactocoele, silicone implant</w:t>
      </w:r>
      <w:proofErr w:type="gramStart"/>
      <w:r>
        <w:t>,  Granulomatous</w:t>
      </w:r>
      <w:proofErr w:type="gramEnd"/>
      <w:r>
        <w:t xml:space="preserve"> mastitis (TB, Wegners, sarcoidosis)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Breast Cancer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Non-invasive: ductal in-situ, lobular in-situ</w:t>
      </w:r>
    </w:p>
    <w:p w:rsidR="00051B16" w:rsidRDefault="00051B16" w:rsidP="00051B16">
      <w:pPr>
        <w:pStyle w:val="ListParagraph"/>
        <w:numPr>
          <w:ilvl w:val="2"/>
          <w:numId w:val="1"/>
        </w:numPr>
      </w:pPr>
      <w:r>
        <w:t>Invasive: ductal, lobular, Paget’s disease, inflammatory ca, male br ca, sarcomas, lymphomas, others (papillary, medullary, mucinous)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Complications of breast cancer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Mets: bone&gt;lungs&gt;pleura&gt;liver&gt;brain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Biopsychosocial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Treatment or surgical S/E, body changes, fertility, family inheritance implications</w:t>
      </w:r>
    </w:p>
    <w:p w:rsidR="00051B16" w:rsidRDefault="00051B16" w:rsidP="00051B16">
      <w:pPr>
        <w:pStyle w:val="ListParagraph"/>
        <w:numPr>
          <w:ilvl w:val="1"/>
          <w:numId w:val="1"/>
        </w:numPr>
      </w:pPr>
      <w:r>
        <w:t>Bone health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Resources and support for patient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Provide contact info for patient while undergoing diagnosis and treatment</w:t>
      </w:r>
    </w:p>
    <w:p w:rsidR="00051B16" w:rsidRDefault="00051B16" w:rsidP="00051B16">
      <w:pPr>
        <w:pStyle w:val="ListParagraph"/>
        <w:numPr>
          <w:ilvl w:val="0"/>
          <w:numId w:val="1"/>
        </w:numPr>
      </w:pPr>
      <w:r>
        <w:t>Supportive care for patient throughout experience</w:t>
      </w:r>
    </w:p>
    <w:p w:rsidR="00051B16" w:rsidRDefault="00051B16" w:rsidP="00051B16">
      <w:pPr>
        <w:pStyle w:val="ListParagraph"/>
        <w:ind w:left="360"/>
      </w:pPr>
    </w:p>
    <w:p w:rsidR="00051B16" w:rsidRDefault="00051B16" w:rsidP="00051B16">
      <w:pPr>
        <w:pStyle w:val="ListParagraph"/>
        <w:ind w:left="360"/>
      </w:pPr>
      <w:hyperlink r:id="rId7" w:history="1">
        <w:r w:rsidRPr="00017791">
          <w:rPr>
            <w:rStyle w:val="Hyperlink"/>
          </w:rPr>
          <w:t>http://www.cmaj.ca/content/suppl/2007/06/14/158.3.DC1#physicians</w:t>
        </w:r>
      </w:hyperlink>
    </w:p>
    <w:p w:rsidR="00051B16" w:rsidRDefault="00051B16" w:rsidP="00051B16">
      <w:pPr>
        <w:pStyle w:val="ListParagraph"/>
        <w:ind w:left="360"/>
      </w:pPr>
      <w:hyperlink r:id="rId8" w:history="1">
        <w:r w:rsidRPr="00017791">
          <w:rPr>
            <w:rStyle w:val="Hyperlink"/>
          </w:rPr>
          <w:t>http://www.bcmj.org/sites/default/files/BCMJ_50Vol4_breastcancer.pdf</w:t>
        </w:r>
      </w:hyperlink>
    </w:p>
    <w:p w:rsidR="00051B16" w:rsidRDefault="00051B16" w:rsidP="00051B16">
      <w:pPr>
        <w:pStyle w:val="ListParagraph"/>
        <w:ind w:left="360"/>
      </w:pPr>
      <w:hyperlink r:id="rId9" w:history="1">
        <w:r w:rsidRPr="00017791">
          <w:rPr>
            <w:rStyle w:val="Hyperlink"/>
          </w:rPr>
          <w:t>http://www.cmaj.ca/content/suppl/2005/07/15/172.10.1319.DC1/cpg9patient-final.pdf</w:t>
        </w:r>
      </w:hyperlink>
    </w:p>
    <w:p w:rsidR="00051B16" w:rsidRDefault="00051B16" w:rsidP="00051B16">
      <w:pPr>
        <w:pStyle w:val="ListParagraph"/>
        <w:ind w:left="360"/>
      </w:pPr>
      <w:hyperlink r:id="rId10" w:history="1">
        <w:r w:rsidRPr="00017791">
          <w:rPr>
            <w:rStyle w:val="Hyperlink"/>
          </w:rPr>
          <w:t>http://www.cmaj.ca/content/183/17/1991</w:t>
        </w:r>
      </w:hyperlink>
    </w:p>
    <w:p w:rsidR="00051B16" w:rsidRDefault="00051B16" w:rsidP="00051B16">
      <w:pPr>
        <w:pStyle w:val="ListParagraph"/>
        <w:ind w:left="360"/>
      </w:pPr>
      <w:r>
        <w:t>Toronto Notes –gen surg section</w:t>
      </w:r>
    </w:p>
    <w:p w:rsidR="007929AE" w:rsidRDefault="007929AE">
      <w:bookmarkStart w:id="0" w:name="_GoBack"/>
      <w:bookmarkEnd w:id="0"/>
    </w:p>
    <w:sectPr w:rsidR="007929AE" w:rsidSect="000E15FA">
      <w:pgSz w:w="12240" w:h="16340"/>
      <w:pgMar w:top="1173" w:right="772" w:bottom="924" w:left="8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85C"/>
    <w:multiLevelType w:val="hybridMultilevel"/>
    <w:tmpl w:val="AC5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6"/>
    <w:rsid w:val="00051B16"/>
    <w:rsid w:val="007929AE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1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1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ncer.gov/bcrisktool/" TargetMode="External"/><Relationship Id="rId7" Type="http://schemas.openxmlformats.org/officeDocument/2006/relationships/hyperlink" Target="http://www.cmaj.ca/content/suppl/2007/06/14/158.3.DC1#physicians" TargetMode="External"/><Relationship Id="rId8" Type="http://schemas.openxmlformats.org/officeDocument/2006/relationships/hyperlink" Target="http://www.bcmj.org/sites/default/files/BCMJ_50Vol4_breastcancer.pdf" TargetMode="External"/><Relationship Id="rId9" Type="http://schemas.openxmlformats.org/officeDocument/2006/relationships/hyperlink" Target="http://www.cmaj.ca/content/suppl/2005/07/15/172.10.1319.DC1/cpg9patient-final.pdf" TargetMode="External"/><Relationship Id="rId10" Type="http://schemas.openxmlformats.org/officeDocument/2006/relationships/hyperlink" Target="http://www.cmaj.ca/content/183/17/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2012-05-19T03:03:00Z</dcterms:created>
  <dcterms:modified xsi:type="dcterms:W3CDTF">2012-05-19T03:04:00Z</dcterms:modified>
</cp:coreProperties>
</file>