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6" w:rsidRPr="004048DD" w:rsidRDefault="00890226" w:rsidP="00890226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color w:val="000000"/>
          <w:sz w:val="28"/>
          <w:szCs w:val="28"/>
          <w:lang w:bidi="en-US"/>
        </w:rPr>
        <w:t>Gastro-intestinal Bleed</w:t>
      </w:r>
    </w:p>
    <w:p w:rsidR="00890226" w:rsidRPr="004048DD" w:rsidRDefault="00890226" w:rsidP="00890226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  <w:lang w:bidi="en-US"/>
        </w:rPr>
      </w:pPr>
    </w:p>
    <w:p w:rsidR="00890226" w:rsidRPr="004048DD" w:rsidRDefault="00890226" w:rsidP="008902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In a patient with blood in the stools who is </w:t>
      </w:r>
      <w:proofErr w:type="spellStart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hemodynamically</w:t>
      </w:r>
      <w:proofErr w:type="spellEnd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 stable, use history to differentiate upper vs. lower GI bleed as the investigation differs</w:t>
      </w:r>
    </w:p>
    <w:p w:rsidR="00890226" w:rsidRPr="004048DD" w:rsidRDefault="00890226" w:rsidP="008902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libri" w:hAnsi="Calibri" w:cs="Calibri"/>
          <w:b/>
          <w:i/>
          <w:color w:val="000000"/>
          <w:sz w:val="28"/>
          <w:szCs w:val="22"/>
          <w:lang w:bidi="en-US"/>
        </w:rPr>
        <w:t>In a patient with suspected blood in the stool, explore other possible causes (e.g., beet ingestion, iron, Pepto-Bismol) before doing extensive investigation</w:t>
      </w:r>
    </w:p>
    <w:p w:rsidR="00890226" w:rsidRPr="004048DD" w:rsidRDefault="00890226" w:rsidP="008902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Look for patients at higher risk for GI bleed (e.g. previous bleed, ICU admission, NSAIDs, alcohol) so as to modify treatment to reduce risk of GI bleed (e.g. </w:t>
      </w:r>
      <w:proofErr w:type="spellStart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cytoprotection</w:t>
      </w:r>
      <w:proofErr w:type="spellEnd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)</w:t>
      </w:r>
    </w:p>
    <w:p w:rsidR="00890226" w:rsidRPr="004048DD" w:rsidRDefault="00890226" w:rsidP="008902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In a patient with obvious GI bleeding, identify patients who may require timely treatment even though they are not yet in shock</w:t>
      </w:r>
    </w:p>
    <w:p w:rsidR="00890226" w:rsidRPr="004048DD" w:rsidRDefault="00890226" w:rsidP="008902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In a stable patient with lower GI bleeding, look for serious cause (e.g., malignancy, inflammatory bowel disease, ulcer, </w:t>
      </w:r>
      <w:proofErr w:type="spellStart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varices</w:t>
      </w:r>
      <w:proofErr w:type="spellEnd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) even when there is an apparent obvious cause for the bleeding (e.g., do not attribute a rectal bleed to hemorrhoids or to oral anticoagulation).</w:t>
      </w:r>
    </w:p>
    <w:p w:rsidR="00890226" w:rsidRPr="004048DD" w:rsidRDefault="00890226" w:rsidP="008902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In a patient with an upper GI bleed;</w:t>
      </w:r>
    </w:p>
    <w:p w:rsidR="00890226" w:rsidRPr="004048DD" w:rsidRDefault="00890226" w:rsidP="0089022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Include </w:t>
      </w:r>
      <w:proofErr w:type="spellStart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variceal</w:t>
      </w:r>
      <w:proofErr w:type="spellEnd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 bleeding in your differential,</w:t>
      </w:r>
    </w:p>
    <w:p w:rsidR="00890226" w:rsidRPr="004048DD" w:rsidRDefault="00890226" w:rsidP="0089022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Use the history and physical exam to assess the likelihood of a </w:t>
      </w:r>
      <w:proofErr w:type="spellStart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variceal</w:t>
      </w:r>
      <w:proofErr w:type="spellEnd"/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 xml:space="preserve"> bleed as its management differs.</w:t>
      </w:r>
    </w:p>
    <w:p w:rsidR="00890226" w:rsidRPr="004048DD" w:rsidRDefault="00890226" w:rsidP="00890226">
      <w:pPr>
        <w:widowControl w:val="0"/>
        <w:autoSpaceDE w:val="0"/>
        <w:autoSpaceDN w:val="0"/>
        <w:adjustRightInd w:val="0"/>
        <w:ind w:left="36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75"/>
        <w:gridCol w:w="4353"/>
        <w:gridCol w:w="4018"/>
      </w:tblGrid>
      <w:tr w:rsidR="00890226" w:rsidRPr="00DB10B3" w:rsidTr="00A04639">
        <w:tc>
          <w:tcPr>
            <w:tcW w:w="213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1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highlight w:val="yellow"/>
                <w:lang w:bidi="en-US"/>
              </w:rPr>
            </w:pPr>
            <w:r w:rsidRPr="00DB10B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highlight w:val="yellow"/>
                <w:lang w:bidi="en-US"/>
              </w:rPr>
              <w:t>Lower GI Bleed</w:t>
            </w:r>
          </w:p>
        </w:tc>
        <w:tc>
          <w:tcPr>
            <w:tcW w:w="359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highlight w:val="yellow"/>
                <w:lang w:bidi="en-US"/>
              </w:rPr>
            </w:pPr>
            <w:r w:rsidRPr="00DB10B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highlight w:val="yellow"/>
                <w:lang w:bidi="en-US"/>
              </w:rPr>
              <w:t>Upper GI bleed</w:t>
            </w:r>
          </w:p>
        </w:tc>
      </w:tr>
      <w:tr w:rsidR="00890226" w:rsidRPr="00DB10B3" w:rsidTr="00A04639">
        <w:tc>
          <w:tcPr>
            <w:tcW w:w="213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  <w:t>Anatomy</w:t>
            </w:r>
          </w:p>
        </w:tc>
        <w:tc>
          <w:tcPr>
            <w:tcW w:w="391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Distal to ligament of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treitz</w:t>
            </w:r>
            <w:proofErr w:type="spellEnd"/>
          </w:p>
        </w:tc>
        <w:tc>
          <w:tcPr>
            <w:tcW w:w="359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Proximal to ligament of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treitz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 (75% of GI bleeds)</w:t>
            </w:r>
          </w:p>
        </w:tc>
      </w:tr>
      <w:tr w:rsidR="00890226" w:rsidRPr="00DB10B3" w:rsidTr="00A04639">
        <w:tc>
          <w:tcPr>
            <w:tcW w:w="213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  <w:t>Etiology &amp; History/Clinical presentation</w:t>
            </w:r>
          </w:p>
        </w:tc>
        <w:tc>
          <w:tcPr>
            <w:tcW w:w="3916" w:type="dxa"/>
          </w:tcPr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Diverticular disease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Usually painless but may c/o of cramping as bleeding causes irritation and the bowel to spasm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Presentation varies depending on amount of volume loss, but often bleeding is brisk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If bleeding is brisk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pt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may be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hemodynamically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unstable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Self-limited in 70-80%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proofErr w:type="spellStart"/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Angiodysplasia</w:t>
            </w:r>
            <w:proofErr w:type="spellEnd"/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arteriovenous</w:t>
            </w:r>
            <w:proofErr w:type="spellEnd"/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 xml:space="preserve"> </w:t>
            </w: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lastRenderedPageBreak/>
              <w:t>malformations)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Usually painless and self-limited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hematochezia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or melena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Tends to cause slow and repeated bleeds so may present with + FOBT, iron-deficiency anemia and syncope/pre-syncope 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 xml:space="preserve">Colitis 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Ischemic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Can be insidious, presenting with pain and rectal bleeding over several weeks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May also be fulminant with acute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abdo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pain, rectal bleeding and hypotension 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Tends to affect older with cardiovascular co-morbidities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Inflammatory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UC&gt;CD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Depends on severity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Can present as severe bloody diarrhea +/-pus or have minimal symptoms 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Fever,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abdo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pain, extra-intestinal findings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Infectious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Hx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of exposure,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abdo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pain, fever, diarrhea (may be watery +/- bloody depending on organism), dehydration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patients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may be quite ill, however blood loss is usually mild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radiation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induced colitis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Neoplasm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Right-sided: melena or maroon colored stools, iron-deficiency anemia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Left-sided: bright red blood per rectum.  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Note that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cecal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bleeding can also present as melena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Recall some colon cancers may not bleed at all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proofErr w:type="spellStart"/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Anorectal</w:t>
            </w:r>
            <w:proofErr w:type="spellEnd"/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 xml:space="preserve"> disease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History of hemorrhoids, blood on toilet paper.  Usually painless bleeding on history unless strangulated. 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Purititis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also common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Anal fissures – pain with passing stool, blood on toilet paper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Need to rule out upper GI source and dietary causes of red stool such as beets</w:t>
            </w:r>
          </w:p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596" w:type="dxa"/>
          </w:tcPr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lastRenderedPageBreak/>
              <w:t>Above GE junction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Epistaxis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Esophageal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varices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(10-30%) 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spellStart"/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hx</w:t>
            </w:r>
            <w:proofErr w:type="spellEnd"/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of liver disease/portal hypertension (ask about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EtOH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, IV drug use,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etc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)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Often presents as major bleed with shock but may also present with coffee ground emesis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lastRenderedPageBreak/>
              <w:t>Esophagitis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Hx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of GERD, dysphagia, odynophagia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May also result from infectious causes:  Candida most common organism followed by Herpes and CMV 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right="-99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Esophageal cancer – constitutional symptoms</w:t>
            </w: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,,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progressive dysphagia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Mallory Weiss tear (10%) –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Hx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of retching resulting in hematemesis +/- melena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Stomach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Gastric ulcer -20%  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Gastritis (e.g. H. pylori, NSAID,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EtOH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, post surgery, infectious, systemic) -20%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Gastric cancer – early satiety, weight loss,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abdo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pain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Duodenum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Ulcer in bulb (25%)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Aortoenteric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fistula (usually only if previous aortic graft)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 xml:space="preserve">Coagulopathy 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Drugs, renal disease, liver disease)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i/>
                <w:color w:val="000000"/>
                <w:sz w:val="28"/>
                <w:szCs w:val="28"/>
                <w:lang w:bidi="en-US"/>
              </w:rPr>
              <w:t>Vascular malformation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Also, r/o dietary causes of black stool such as iron supplementation, Pepto-Bismol</w:t>
            </w:r>
          </w:p>
        </w:tc>
      </w:tr>
      <w:tr w:rsidR="00890226" w:rsidRPr="00DB10B3" w:rsidTr="00A04639">
        <w:tc>
          <w:tcPr>
            <w:tcW w:w="213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  <w:lastRenderedPageBreak/>
              <w:t>Management/</w:t>
            </w:r>
          </w:p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bidi="en-US"/>
              </w:rPr>
              <w:t>Approach</w:t>
            </w:r>
          </w:p>
        </w:tc>
        <w:tc>
          <w:tcPr>
            <w:tcW w:w="3916" w:type="dxa"/>
          </w:tcPr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History as above to determine if upper or lower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Initial management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stabilize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patient (ABC’s, 2 large bore IVs and IV fluids, Monitors, Cross, Type and screen)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placing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a NG tube to help localize bleed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endoscopy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to r/o UGIB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colonoscopy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to determine site of bleed, etiology and potentially treat (e.g. coagulation)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May need to transfuse if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hemodynamically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unstable 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may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require surgical interventio</w:t>
            </w: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n </w:t>
            </w: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depending on etiology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Bedside tests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DRE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Massive GI bleed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Systolic BP &lt;90 mmHg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Hb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&lt;60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Risk Factors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&gt;65 years</w:t>
            </w:r>
          </w:p>
          <w:p w:rsidR="00890226" w:rsidRPr="00DB10B3" w:rsidRDefault="00890226" w:rsidP="00A04639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multiple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medical co-morbidities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596" w:type="dxa"/>
          </w:tcPr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80% of upper GI bleeds stop spontaneously or only need supportive therapy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Risk factors for mortality: co-existent illness,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hemodynamically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 unstable, age &gt;60, anti-coagulation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Initial management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proofErr w:type="gram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stabilize</w:t>
            </w:r>
            <w:proofErr w:type="gram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patient (ABC’s, 2 large bore IVs and IV fluids, Monitors, Cross, Type and screen)</w:t>
            </w:r>
          </w:p>
          <w:p w:rsidR="00890226" w:rsidRPr="00DB10B3" w:rsidRDefault="00890226" w:rsidP="00A0463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NG tube to help differentiate between UGIB and LGIB (except in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>variceal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Cs w:val="28"/>
                <w:lang w:bidi="en-US"/>
              </w:rPr>
              <w:t xml:space="preserve"> bleeds)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Endoscopy to visualize and potentially treat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PPI (IV omeprazole) for non-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variceal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 bleeds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For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variceal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 bleeds,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octreotide</w:t>
            </w:r>
            <w:proofErr w:type="spellEnd"/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Ensure all potential causative agents are stopped (e.g. NSAIDs,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EtOH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)</w:t>
            </w:r>
          </w:p>
          <w:p w:rsidR="00890226" w:rsidRPr="00DB10B3" w:rsidRDefault="00890226" w:rsidP="00A046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May need to transfuse if </w:t>
            </w:r>
            <w:proofErr w:type="spellStart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>hemodynamically</w:t>
            </w:r>
            <w:proofErr w:type="spellEnd"/>
            <w:r w:rsidRPr="00DB10B3"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  <w:t xml:space="preserve"> unstable </w:t>
            </w:r>
          </w:p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</w:tr>
      <w:tr w:rsidR="00890226" w:rsidRPr="00DB10B3" w:rsidTr="00A04639">
        <w:tc>
          <w:tcPr>
            <w:tcW w:w="213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91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596" w:type="dxa"/>
          </w:tcPr>
          <w:p w:rsidR="00890226" w:rsidRPr="00DB10B3" w:rsidRDefault="00890226" w:rsidP="00A0463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890226" w:rsidRPr="004048DD" w:rsidRDefault="00890226" w:rsidP="00890226">
      <w:pPr>
        <w:widowControl w:val="0"/>
        <w:autoSpaceDE w:val="0"/>
        <w:autoSpaceDN w:val="0"/>
        <w:adjustRightInd w:val="0"/>
        <w:ind w:left="360"/>
        <w:rPr>
          <w:rFonts w:ascii="Cambria" w:hAnsi="Cambria" w:cs="Cambria"/>
          <w:bCs/>
          <w:color w:val="000000"/>
          <w:sz w:val="28"/>
          <w:szCs w:val="28"/>
          <w:lang w:bidi="en-US"/>
        </w:rPr>
      </w:pPr>
    </w:p>
    <w:p w:rsidR="00890226" w:rsidRPr="004048DD" w:rsidRDefault="00890226" w:rsidP="00890226">
      <w:pPr>
        <w:widowControl w:val="0"/>
        <w:autoSpaceDE w:val="0"/>
        <w:autoSpaceDN w:val="0"/>
        <w:adjustRightInd w:val="0"/>
        <w:ind w:left="36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</w:p>
    <w:p w:rsidR="00890226" w:rsidRPr="004048DD" w:rsidRDefault="00890226" w:rsidP="0089022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</w:pPr>
      <w:r w:rsidRPr="004048DD">
        <w:rPr>
          <w:rFonts w:ascii="Cambria" w:hAnsi="Cambria" w:cs="Cambria"/>
          <w:b/>
          <w:bCs/>
          <w:i/>
          <w:color w:val="000000"/>
          <w:sz w:val="28"/>
          <w:szCs w:val="28"/>
          <w:lang w:bidi="en-US"/>
        </w:rPr>
        <w:t>References:</w:t>
      </w:r>
    </w:p>
    <w:p w:rsidR="00890226" w:rsidRPr="004048DD" w:rsidRDefault="00890226" w:rsidP="0089022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28"/>
          <w:szCs w:val="28"/>
          <w:lang w:bidi="en-US"/>
        </w:rPr>
      </w:pPr>
    </w:p>
    <w:p w:rsidR="00890226" w:rsidRPr="00353A8A" w:rsidRDefault="00890226" w:rsidP="0089022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Cs w:val="28"/>
          <w:lang w:bidi="en-US"/>
        </w:rPr>
      </w:pPr>
      <w:proofErr w:type="spellStart"/>
      <w:r w:rsidRPr="00353A8A">
        <w:rPr>
          <w:rFonts w:ascii="Cambria" w:hAnsi="Cambria" w:cs="Cambria"/>
          <w:bCs/>
          <w:color w:val="000000"/>
          <w:szCs w:val="28"/>
          <w:lang w:bidi="en-US"/>
        </w:rPr>
        <w:t>Andreoli</w:t>
      </w:r>
      <w:proofErr w:type="spellEnd"/>
      <w:r w:rsidRPr="00353A8A">
        <w:rPr>
          <w:rFonts w:ascii="Cambria" w:hAnsi="Cambria" w:cs="Cambria"/>
          <w:bCs/>
          <w:color w:val="000000"/>
          <w:szCs w:val="28"/>
          <w:lang w:bidi="en-US"/>
        </w:rPr>
        <w:t xml:space="preserve"> et al. (2007): Cecil Essentials of Medicine 7</w:t>
      </w:r>
      <w:r w:rsidRPr="00353A8A">
        <w:rPr>
          <w:rFonts w:ascii="Cambria" w:hAnsi="Cambria" w:cs="Cambria"/>
          <w:bCs/>
          <w:color w:val="000000"/>
          <w:szCs w:val="28"/>
          <w:vertAlign w:val="superscript"/>
          <w:lang w:bidi="en-US"/>
        </w:rPr>
        <w:t>th</w:t>
      </w:r>
      <w:r w:rsidRPr="00353A8A">
        <w:rPr>
          <w:rFonts w:ascii="Cambria" w:hAnsi="Cambria" w:cs="Cambria"/>
          <w:bCs/>
          <w:color w:val="000000"/>
          <w:szCs w:val="28"/>
          <w:lang w:bidi="en-US"/>
        </w:rPr>
        <w:t xml:space="preserve"> </w:t>
      </w:r>
      <w:proofErr w:type="gramStart"/>
      <w:r w:rsidRPr="00353A8A">
        <w:rPr>
          <w:rFonts w:ascii="Cambria" w:hAnsi="Cambria" w:cs="Cambria"/>
          <w:bCs/>
          <w:color w:val="000000"/>
          <w:szCs w:val="28"/>
          <w:lang w:bidi="en-US"/>
        </w:rPr>
        <w:t>ed</w:t>
      </w:r>
      <w:proofErr w:type="gramEnd"/>
      <w:r w:rsidRPr="00353A8A">
        <w:rPr>
          <w:rFonts w:ascii="Cambria" w:hAnsi="Cambria" w:cs="Cambria"/>
          <w:bCs/>
          <w:color w:val="000000"/>
          <w:szCs w:val="28"/>
          <w:lang w:bidi="en-US"/>
        </w:rPr>
        <w:t xml:space="preserve">.  2007. </w:t>
      </w:r>
      <w:proofErr w:type="spellStart"/>
      <w:proofErr w:type="gramStart"/>
      <w:r w:rsidRPr="00353A8A">
        <w:rPr>
          <w:rFonts w:ascii="Cambria" w:hAnsi="Cambria" w:cs="Cambria"/>
          <w:bCs/>
          <w:color w:val="000000"/>
          <w:szCs w:val="28"/>
          <w:lang w:bidi="en-US"/>
        </w:rPr>
        <w:t>pp</w:t>
      </w:r>
      <w:proofErr w:type="spellEnd"/>
      <w:proofErr w:type="gramEnd"/>
      <w:r w:rsidRPr="00353A8A">
        <w:rPr>
          <w:rFonts w:ascii="Cambria" w:hAnsi="Cambria" w:cs="Cambria"/>
          <w:bCs/>
          <w:color w:val="000000"/>
          <w:szCs w:val="28"/>
          <w:lang w:bidi="en-US"/>
        </w:rPr>
        <w:t xml:space="preserve"> 360-364</w:t>
      </w:r>
    </w:p>
    <w:p w:rsidR="00890226" w:rsidRPr="00353A8A" w:rsidRDefault="00890226" w:rsidP="00890226"/>
    <w:p w:rsidR="00890226" w:rsidRPr="00353A8A" w:rsidRDefault="00890226" w:rsidP="00890226">
      <w:proofErr w:type="spellStart"/>
      <w:r w:rsidRPr="00353A8A">
        <w:t>Cagir</w:t>
      </w:r>
      <w:proofErr w:type="spellEnd"/>
      <w:r w:rsidRPr="00353A8A">
        <w:t>, B et al.  Medscape: Lower Gastrointestinal Bleeding</w:t>
      </w:r>
    </w:p>
    <w:p w:rsidR="00890226" w:rsidRPr="00353A8A" w:rsidRDefault="00890226" w:rsidP="00890226"/>
    <w:p w:rsidR="00890226" w:rsidRPr="00353A8A" w:rsidRDefault="00890226" w:rsidP="00890226">
      <w:r w:rsidRPr="00353A8A">
        <w:rPr>
          <w:rFonts w:ascii="Cambria" w:hAnsi="Cambria" w:cs="Cambria"/>
          <w:bCs/>
          <w:color w:val="000000"/>
          <w:szCs w:val="28"/>
          <w:lang w:bidi="en-US"/>
        </w:rPr>
        <w:t>Toronto Notes (2008): Gastroenterology and General Surgery sections</w:t>
      </w:r>
    </w:p>
    <w:p w:rsidR="007929AE" w:rsidRDefault="007929AE">
      <w:bookmarkStart w:id="0" w:name="_GoBack"/>
      <w:bookmarkEnd w:id="0"/>
    </w:p>
    <w:sectPr w:rsidR="007929AE" w:rsidSect="00DB10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94B"/>
    <w:multiLevelType w:val="hybridMultilevel"/>
    <w:tmpl w:val="EEA243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48150A"/>
    <w:multiLevelType w:val="hybridMultilevel"/>
    <w:tmpl w:val="964ED94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9162CC9"/>
    <w:multiLevelType w:val="hybridMultilevel"/>
    <w:tmpl w:val="EB8867DA"/>
    <w:lvl w:ilvl="0" w:tplc="3760072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6"/>
    <w:rsid w:val="007929AE"/>
    <w:rsid w:val="007B2E5D"/>
    <w:rsid w:val="008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4407</Characters>
  <Application>Microsoft Macintosh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2012-05-27T00:50:00Z</dcterms:created>
  <dcterms:modified xsi:type="dcterms:W3CDTF">2012-05-27T00:50:00Z</dcterms:modified>
</cp:coreProperties>
</file>