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9D5D" w14:textId="77777777" w:rsidR="00BD100C" w:rsidRDefault="00BD100C"/>
    <w:p w14:paraId="3AADC2BD" w14:textId="77777777" w:rsidR="00BD100C" w:rsidRDefault="00BD100C"/>
    <w:sdt>
      <w:sdtPr>
        <w:id w:val="2036300920"/>
        <w:docPartObj>
          <w:docPartGallery w:val="Table of Contents"/>
          <w:docPartUnique/>
        </w:docPartObj>
      </w:sdtPr>
      <w:sdtEndPr/>
      <w:sdtContent>
        <w:p w14:paraId="3714B137" w14:textId="77777777" w:rsidR="00BD100C" w:rsidRDefault="0080509D">
          <w:pPr>
            <w:tabs>
              <w:tab w:val="right" w:pos="9030"/>
            </w:tabs>
            <w:spacing w:before="80" w:after="80" w:line="240" w:lineRule="auto"/>
            <w:rPr>
              <w:b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tbl>
          <w:tblPr>
            <w:tblStyle w:val="a"/>
            <w:tblW w:w="900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950"/>
            <w:gridCol w:w="7050"/>
          </w:tblGrid>
          <w:tr w:rsidR="00BD100C" w14:paraId="21DF7921" w14:textId="77777777">
            <w:tc>
              <w:tcPr>
                <w:tcW w:w="1950" w:type="dxa"/>
                <w:tcBorders>
                  <w:top w:val="single" w:sz="8" w:space="0" w:color="F3F3F3"/>
                  <w:left w:val="single" w:sz="8" w:space="0" w:color="F3F3F3"/>
                  <w:bottom w:val="single" w:sz="8" w:space="0" w:color="F3F3F3"/>
                  <w:right w:val="single" w:sz="8" w:space="0" w:color="F3F3F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DF5BAE" w14:textId="77777777" w:rsidR="00BD100C" w:rsidRDefault="0080509D">
                <w:pPr>
                  <w:p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pBdr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114300" distB="114300" distL="114300" distR="114300" wp14:anchorId="10451DEF" wp14:editId="469A0548">
                      <wp:extent cx="754071" cy="1025888"/>
                      <wp:effectExtent l="0" t="0" r="0" b="0"/>
                      <wp:docPr id="1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071" cy="1025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50" w:type="dxa"/>
                <w:tcBorders>
                  <w:top w:val="single" w:sz="8" w:space="0" w:color="F3F3F3"/>
                  <w:left w:val="single" w:sz="8" w:space="0" w:color="F3F3F3"/>
                  <w:bottom w:val="single" w:sz="8" w:space="0" w:color="F3F3F3"/>
                  <w:right w:val="single" w:sz="8" w:space="0" w:color="F3F3F3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CCEDBE" w14:textId="77777777" w:rsidR="00BD100C" w:rsidRDefault="0080509D">
                <w:pPr>
                  <w:pStyle w:val="Heading2"/>
                  <w:p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pBdr>
                  <w:rPr>
                    <w:sz w:val="36"/>
                    <w:szCs w:val="36"/>
                  </w:rPr>
                </w:pPr>
                <w:bookmarkStart w:id="0" w:name="_yuoo8ifmm31a" w:colFirst="0" w:colLast="0"/>
                <w:bookmarkEnd w:id="0"/>
                <w:r>
                  <w:rPr>
                    <w:sz w:val="36"/>
                    <w:szCs w:val="36"/>
                  </w:rPr>
                  <w:t>Expand your repertoire of questioning techniques to improve student learning</w:t>
                </w:r>
              </w:p>
              <w:p w14:paraId="1EC94919" w14:textId="77777777" w:rsidR="00BD100C" w:rsidRDefault="0080509D">
                <w:pPr>
                  <w:widowControl w:val="0"/>
                  <w:p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pBdr>
                  <w:spacing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September 5, 2019. Session Worksheet</w:t>
                </w:r>
              </w:p>
              <w:p w14:paraId="2B060AF7" w14:textId="77777777" w:rsidR="00BD100C" w:rsidRDefault="00BD100C">
                <w:pPr>
                  <w:spacing w:line="240" w:lineRule="auto"/>
                </w:pPr>
              </w:p>
            </w:tc>
          </w:tr>
        </w:tbl>
        <w:p w14:paraId="1536A0D6" w14:textId="77777777" w:rsidR="00BD100C" w:rsidRDefault="0080509D">
          <w:pPr>
            <w:tabs>
              <w:tab w:val="right" w:pos="9030"/>
            </w:tabs>
            <w:spacing w:before="80" w:after="80" w:line="240" w:lineRule="auto"/>
          </w:pPr>
          <w:r>
            <w:rPr>
              <w:b/>
            </w:rPr>
            <w:tab/>
          </w:r>
          <w:r>
            <w:fldChar w:fldCharType="end"/>
          </w:r>
        </w:p>
      </w:sdtContent>
    </w:sdt>
    <w:p w14:paraId="6BC4EDE8" w14:textId="77777777" w:rsidR="00BD100C" w:rsidRDefault="0080509D">
      <w:pPr>
        <w:rPr>
          <w:highlight w:val="cyan"/>
        </w:rPr>
      </w:pPr>
      <w:r>
        <w:t xml:space="preserve"> </w:t>
      </w:r>
    </w:p>
    <w:p w14:paraId="7CE7D803" w14:textId="77777777" w:rsidR="00BD100C" w:rsidRDefault="0080509D">
      <w:r>
        <w:t xml:space="preserve">1. Select </w:t>
      </w:r>
      <w:r>
        <w:t xml:space="preserve">a course/class/workshop you are teaching or would like to teach in the future. </w:t>
      </w:r>
    </w:p>
    <w:p w14:paraId="6556D94F" w14:textId="77777777" w:rsidR="00BD100C" w:rsidRDefault="0080509D">
      <w:r>
        <w:t>Choose a specific topic you will address in your teaching.</w:t>
      </w:r>
    </w:p>
    <w:p w14:paraId="4FDB8D08" w14:textId="77777777" w:rsidR="00BD100C" w:rsidRDefault="00BD100C"/>
    <w:p w14:paraId="34BE43E0" w14:textId="77777777" w:rsidR="00BD100C" w:rsidRDefault="0080509D">
      <w:r>
        <w:t>Topic:</w:t>
      </w:r>
    </w:p>
    <w:p w14:paraId="023EA54C" w14:textId="77777777" w:rsidR="00BD100C" w:rsidRDefault="00BD100C"/>
    <w:p w14:paraId="3857FB93" w14:textId="77777777" w:rsidR="00BD100C" w:rsidRDefault="00BD100C"/>
    <w:p w14:paraId="225AFB44" w14:textId="77777777" w:rsidR="00BD100C" w:rsidRDefault="00BD100C"/>
    <w:p w14:paraId="1766276A" w14:textId="77777777" w:rsidR="00BD100C" w:rsidRDefault="0080509D">
      <w:r>
        <w:t>2. As you think about the above topic, jot down some of the reasons you think it is important to teach tha</w:t>
      </w:r>
      <w:r>
        <w:t>t topic. What would students miss out on if you didn’t teach that topic?</w:t>
      </w:r>
    </w:p>
    <w:p w14:paraId="4502BA77" w14:textId="77777777" w:rsidR="00BD100C" w:rsidRDefault="00BD100C"/>
    <w:p w14:paraId="14B84079" w14:textId="77777777" w:rsidR="00BD100C" w:rsidRDefault="00BD100C"/>
    <w:p w14:paraId="7B8E223E" w14:textId="77777777" w:rsidR="00BD100C" w:rsidRDefault="00BD100C"/>
    <w:p w14:paraId="16C49EE2" w14:textId="77777777" w:rsidR="00BD100C" w:rsidRDefault="00BD100C"/>
    <w:p w14:paraId="10100F68" w14:textId="77777777" w:rsidR="00BD100C" w:rsidRDefault="0080509D">
      <w:r>
        <w:t>3. Imagine a session/class/other in which you dedicate time to that topic. By the end of that session, what do you hope your students will be able to do/know/value?  Write down so</w:t>
      </w:r>
      <w:r>
        <w:t>me of the learning objectives (do not worry about wording these “perfectly”):</w:t>
      </w:r>
    </w:p>
    <w:p w14:paraId="532BD150" w14:textId="77777777" w:rsidR="00BD100C" w:rsidRDefault="00BD100C"/>
    <w:p w14:paraId="5309BD4F" w14:textId="77777777" w:rsidR="00BD100C" w:rsidRDefault="00BD100C"/>
    <w:p w14:paraId="37B051F9" w14:textId="77777777" w:rsidR="00BD100C" w:rsidRDefault="00BD100C"/>
    <w:p w14:paraId="024581DF" w14:textId="77777777" w:rsidR="00BD100C" w:rsidRDefault="00BD100C"/>
    <w:p w14:paraId="3F93F545" w14:textId="77777777" w:rsidR="00BD100C" w:rsidRDefault="00BD100C"/>
    <w:p w14:paraId="2A3526D2" w14:textId="77777777" w:rsidR="00BD100C" w:rsidRDefault="0080509D">
      <w:r>
        <w:t>4. Keeping in mind your responses to the above questions, and with a particular topic in mind, create one or more of each:</w:t>
      </w:r>
    </w:p>
    <w:p w14:paraId="541F0D18" w14:textId="77777777" w:rsidR="00BD100C" w:rsidRDefault="00BD100C"/>
    <w:p w14:paraId="46464482" w14:textId="77777777" w:rsidR="00BD100C" w:rsidRDefault="0080509D">
      <w:r>
        <w:t>Convergent question:</w:t>
      </w:r>
    </w:p>
    <w:p w14:paraId="10BF138F" w14:textId="77777777" w:rsidR="00BD100C" w:rsidRDefault="0080509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Closed, not offering many options.</w:t>
      </w:r>
    </w:p>
    <w:p w14:paraId="0D5E10BF" w14:textId="77777777" w:rsidR="00BD100C" w:rsidRDefault="00BD100C"/>
    <w:p w14:paraId="6CB520E9" w14:textId="77777777" w:rsidR="00BD100C" w:rsidRDefault="00BD100C"/>
    <w:p w14:paraId="7BBC8D51" w14:textId="77777777" w:rsidR="00BD100C" w:rsidRDefault="00BD100C"/>
    <w:p w14:paraId="0B86543D" w14:textId="77777777" w:rsidR="00BD100C" w:rsidRDefault="0080509D">
      <w:r>
        <w:t>Divergent question:</w:t>
      </w:r>
    </w:p>
    <w:p w14:paraId="3B5A6CB8" w14:textId="77777777" w:rsidR="00BD100C" w:rsidRDefault="0080509D">
      <w:pPr>
        <w:rPr>
          <w:i/>
        </w:rPr>
      </w:pPr>
      <w:r>
        <w:rPr>
          <w:i/>
        </w:rPr>
        <w:t>Open, having many responses</w:t>
      </w:r>
    </w:p>
    <w:p w14:paraId="1709B067" w14:textId="77777777" w:rsidR="00BD100C" w:rsidRDefault="00BD100C"/>
    <w:p w14:paraId="69C125EC" w14:textId="77777777" w:rsidR="00BD100C" w:rsidRDefault="00BD100C"/>
    <w:p w14:paraId="31D8CC04" w14:textId="77777777" w:rsidR="00BD100C" w:rsidRDefault="0080509D">
      <w:r>
        <w:br w:type="page"/>
      </w:r>
    </w:p>
    <w:p w14:paraId="651783E7" w14:textId="77777777" w:rsidR="00BD100C" w:rsidRDefault="0080509D">
      <w:r>
        <w:lastRenderedPageBreak/>
        <w:t>Question 4 continued:</w:t>
      </w:r>
    </w:p>
    <w:p w14:paraId="522C1593" w14:textId="77777777" w:rsidR="00BD100C" w:rsidRDefault="00BD100C"/>
    <w:p w14:paraId="00448E62" w14:textId="77777777" w:rsidR="00BD100C" w:rsidRDefault="0080509D">
      <w:r>
        <w:t>If you have time, come up with a “brainstorm” question and “funnel” type question(s).</w:t>
      </w:r>
    </w:p>
    <w:p w14:paraId="6117013E" w14:textId="77777777" w:rsidR="00BD100C" w:rsidRDefault="00BD100C"/>
    <w:p w14:paraId="4A9797D8" w14:textId="77777777" w:rsidR="00BD100C" w:rsidRDefault="0080509D">
      <w:r>
        <w:t>Brainstorm question:</w:t>
      </w:r>
    </w:p>
    <w:p w14:paraId="34A9060C" w14:textId="77777777" w:rsidR="00BD100C" w:rsidRDefault="0080509D">
      <w:pPr>
        <w:rPr>
          <w:i/>
        </w:rPr>
      </w:pPr>
      <w:r>
        <w:rPr>
          <w:i/>
        </w:rPr>
        <w:t>Questions that generate a list of ideas or viewpoints.</w:t>
      </w:r>
    </w:p>
    <w:p w14:paraId="5359C643" w14:textId="77777777" w:rsidR="00BD100C" w:rsidRDefault="00BD100C"/>
    <w:p w14:paraId="3617D241" w14:textId="77777777" w:rsidR="00BD100C" w:rsidRDefault="00BD100C"/>
    <w:p w14:paraId="4AE9E041" w14:textId="77777777" w:rsidR="00BD100C" w:rsidRDefault="0080509D">
      <w:r>
        <w:t>Funnel questions:</w:t>
      </w:r>
    </w:p>
    <w:p w14:paraId="094CF2E3" w14:textId="77777777" w:rsidR="00BD100C" w:rsidRDefault="0080509D">
      <w:pPr>
        <w:rPr>
          <w:i/>
        </w:rPr>
      </w:pPr>
      <w:r>
        <w:rPr>
          <w:i/>
        </w:rPr>
        <w:t>Multiple questions starting broadly and gradually leading to more focused inquiry.</w:t>
      </w:r>
    </w:p>
    <w:p w14:paraId="680E96B3" w14:textId="77777777" w:rsidR="00BD100C" w:rsidRDefault="00BD100C"/>
    <w:p w14:paraId="12B83FA0" w14:textId="77777777" w:rsidR="00BD100C" w:rsidRDefault="00BD100C"/>
    <w:p w14:paraId="416D947F" w14:textId="77777777" w:rsidR="00BD100C" w:rsidRDefault="00BD100C"/>
    <w:p w14:paraId="23E6AEE5" w14:textId="77777777" w:rsidR="00BD100C" w:rsidRDefault="00BD100C"/>
    <w:p w14:paraId="63D04A1A" w14:textId="77777777" w:rsidR="00BD100C" w:rsidRDefault="0080509D">
      <w:r>
        <w:t>5. Refer to your handout titled “</w:t>
      </w:r>
      <w:hyperlink r:id="rId7">
        <w:r>
          <w:rPr>
            <w:color w:val="1155CC"/>
            <w:u w:val="single"/>
          </w:rPr>
          <w:t>Questions for the revised Bloom’s Taxonomy</w:t>
        </w:r>
      </w:hyperlink>
      <w:r>
        <w:t>”</w:t>
      </w:r>
    </w:p>
    <w:p w14:paraId="48B7A927" w14:textId="77777777" w:rsidR="00BD100C" w:rsidRDefault="00BD100C">
      <w:pPr>
        <w:rPr>
          <w:highlight w:val="cyan"/>
        </w:rPr>
      </w:pPr>
    </w:p>
    <w:p w14:paraId="48E1119D" w14:textId="77777777" w:rsidR="00BD100C" w:rsidRDefault="00BD100C">
      <w:pPr>
        <w:rPr>
          <w:highlight w:val="cyan"/>
        </w:rPr>
      </w:pPr>
    </w:p>
    <w:p w14:paraId="7D6D82B5" w14:textId="77777777" w:rsidR="00BD100C" w:rsidRDefault="0080509D">
      <w:r>
        <w:t>Recall the topic you used when creating ‘</w:t>
      </w:r>
      <w:proofErr w:type="spellStart"/>
      <w:r>
        <w:t>non hierarchical</w:t>
      </w:r>
      <w:proofErr w:type="spellEnd"/>
      <w:r>
        <w:t>’ taxonomies and imagine yourself teaching again. Write questions for the following domains.</w:t>
      </w:r>
    </w:p>
    <w:p w14:paraId="6D3C4F50" w14:textId="77777777" w:rsidR="00BD100C" w:rsidRDefault="00BD100C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D100C" w14:paraId="0C46966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B01E" w14:textId="77777777" w:rsidR="00BD100C" w:rsidRDefault="008050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Remembering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32B5" w14:textId="77777777" w:rsidR="00BD100C" w:rsidRDefault="0080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325A" w14:textId="77777777" w:rsidR="00BD100C" w:rsidRDefault="0080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Applying</w:t>
            </w:r>
          </w:p>
        </w:tc>
      </w:tr>
      <w:tr w:rsidR="00BD100C" w14:paraId="487C73B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3AF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9C6583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EF417C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B0054B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C7E085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FD12B9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C43D30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4F8D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AA77" w14:textId="77777777" w:rsidR="00BD100C" w:rsidRDefault="00BD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6F2CAF" w14:textId="77777777" w:rsidR="00BD100C" w:rsidRDefault="00BD100C"/>
    <w:p w14:paraId="6912182D" w14:textId="77777777" w:rsidR="00BD100C" w:rsidRDefault="00BD100C"/>
    <w:p w14:paraId="7636780C" w14:textId="77777777" w:rsidR="00BD100C" w:rsidRDefault="00BD100C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D100C" w14:paraId="3DBB79F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4E4F" w14:textId="77777777" w:rsidR="00BD100C" w:rsidRDefault="0080509D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Analyzing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008C" w14:textId="77777777" w:rsidR="00BD100C" w:rsidRDefault="008050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Evaluating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B827" w14:textId="77777777" w:rsidR="00BD100C" w:rsidRDefault="008050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Creating</w:t>
            </w:r>
          </w:p>
        </w:tc>
      </w:tr>
      <w:tr w:rsidR="00BD100C" w14:paraId="295F382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1C13" w14:textId="77777777" w:rsidR="00BD100C" w:rsidRDefault="00BD100C">
            <w:pPr>
              <w:widowControl w:val="0"/>
              <w:spacing w:line="240" w:lineRule="auto"/>
            </w:pPr>
          </w:p>
          <w:p w14:paraId="1598DDD8" w14:textId="77777777" w:rsidR="00BD100C" w:rsidRDefault="00BD100C">
            <w:pPr>
              <w:widowControl w:val="0"/>
              <w:spacing w:line="240" w:lineRule="auto"/>
            </w:pPr>
          </w:p>
          <w:p w14:paraId="24837240" w14:textId="77777777" w:rsidR="00BD100C" w:rsidRDefault="00BD100C">
            <w:pPr>
              <w:widowControl w:val="0"/>
              <w:spacing w:line="240" w:lineRule="auto"/>
            </w:pPr>
          </w:p>
          <w:p w14:paraId="61C2BF5D" w14:textId="77777777" w:rsidR="00BD100C" w:rsidRDefault="00BD100C">
            <w:pPr>
              <w:widowControl w:val="0"/>
              <w:spacing w:line="240" w:lineRule="auto"/>
            </w:pPr>
          </w:p>
          <w:p w14:paraId="073442E2" w14:textId="77777777" w:rsidR="00BD100C" w:rsidRDefault="00BD100C">
            <w:pPr>
              <w:widowControl w:val="0"/>
              <w:spacing w:line="240" w:lineRule="auto"/>
            </w:pPr>
          </w:p>
          <w:p w14:paraId="7AF68162" w14:textId="77777777" w:rsidR="00BD100C" w:rsidRDefault="00BD100C">
            <w:pPr>
              <w:widowControl w:val="0"/>
              <w:spacing w:line="240" w:lineRule="auto"/>
            </w:pPr>
          </w:p>
          <w:p w14:paraId="5DCE9006" w14:textId="77777777" w:rsidR="00BD100C" w:rsidRDefault="00BD100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2718" w14:textId="77777777" w:rsidR="00BD100C" w:rsidRDefault="00BD100C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B9A9" w14:textId="77777777" w:rsidR="00BD100C" w:rsidRDefault="00BD100C">
            <w:pPr>
              <w:widowControl w:val="0"/>
              <w:spacing w:line="240" w:lineRule="auto"/>
            </w:pPr>
          </w:p>
        </w:tc>
      </w:tr>
    </w:tbl>
    <w:p w14:paraId="44F8F226" w14:textId="77777777" w:rsidR="00BD100C" w:rsidRDefault="00BD100C"/>
    <w:p w14:paraId="1D6E836F" w14:textId="77777777" w:rsidR="00BD100C" w:rsidRDefault="00BD100C"/>
    <w:p w14:paraId="33B4F4D2" w14:textId="77777777" w:rsidR="00BD100C" w:rsidRDefault="00BD100C"/>
    <w:p w14:paraId="4020D84F" w14:textId="77777777" w:rsidR="00BD100C" w:rsidRDefault="00BD100C">
      <w:pPr>
        <w:rPr>
          <w:highlight w:val="cyan"/>
        </w:rPr>
      </w:pPr>
    </w:p>
    <w:p w14:paraId="47171522" w14:textId="77777777" w:rsidR="00BD100C" w:rsidRDefault="0080509D">
      <w:r>
        <w:br w:type="page"/>
      </w:r>
    </w:p>
    <w:p w14:paraId="5B92894C" w14:textId="77777777" w:rsidR="00BD100C" w:rsidRDefault="0080509D">
      <w:r>
        <w:lastRenderedPageBreak/>
        <w:t>6. Scaffolding Elaborated Feedback</w:t>
      </w:r>
    </w:p>
    <w:p w14:paraId="1FAA218C" w14:textId="77777777" w:rsidR="00BD100C" w:rsidRDefault="00BD100C"/>
    <w:p w14:paraId="5CD5B1C7" w14:textId="77777777" w:rsidR="00BD100C" w:rsidRDefault="0080509D">
      <w:r>
        <w:t xml:space="preserve">Now, create a sequence of questions to scaffold the process of setting a complex and demanding question (higher on the taxonomy). Use </w:t>
      </w:r>
      <w:proofErr w:type="gramStart"/>
      <w:r>
        <w:t>less</w:t>
      </w:r>
      <w:proofErr w:type="gramEnd"/>
      <w:r>
        <w:t xml:space="preserve"> demanding questions to lead up to the final task. Think too about how the student</w:t>
      </w:r>
      <w:r>
        <w:t xml:space="preserve">s could work together to build on </w:t>
      </w:r>
      <w:proofErr w:type="spellStart"/>
      <w:r>
        <w:t>each others’</w:t>
      </w:r>
      <w:proofErr w:type="spellEnd"/>
      <w:r>
        <w:t xml:space="preserve"> knowledge.</w:t>
      </w:r>
    </w:p>
    <w:p w14:paraId="0D1208CC" w14:textId="77777777" w:rsidR="00BD100C" w:rsidRDefault="00BD100C"/>
    <w:p w14:paraId="07E823FF" w14:textId="77777777" w:rsidR="00BD100C" w:rsidRDefault="008050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14:paraId="6FB9B5B7" w14:textId="77777777" w:rsidR="00BD100C" w:rsidRDefault="00BD100C">
      <w:pPr>
        <w:rPr>
          <w:highlight w:val="cyan"/>
        </w:rPr>
      </w:pPr>
    </w:p>
    <w:p w14:paraId="427D23A4" w14:textId="77777777" w:rsidR="00BD100C" w:rsidRDefault="00BD100C">
      <w:pPr>
        <w:rPr>
          <w:highlight w:val="cyan"/>
        </w:rPr>
      </w:pPr>
    </w:p>
    <w:p w14:paraId="55CD35A6" w14:textId="77777777" w:rsidR="00BD100C" w:rsidRDefault="00805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Space for notes</w:t>
      </w:r>
    </w:p>
    <w:p w14:paraId="3C9010CC" w14:textId="77777777" w:rsidR="00BD100C" w:rsidRDefault="00BD100C">
      <w:pPr>
        <w:rPr>
          <w:highlight w:val="cyan"/>
        </w:rPr>
      </w:pPr>
    </w:p>
    <w:p w14:paraId="7DE146BC" w14:textId="77777777" w:rsidR="00BD100C" w:rsidRDefault="00BD100C">
      <w:pPr>
        <w:rPr>
          <w:highlight w:val="cyan"/>
        </w:rPr>
      </w:pPr>
    </w:p>
    <w:p w14:paraId="46639854" w14:textId="77777777" w:rsidR="00BD100C" w:rsidRDefault="00BD100C">
      <w:pPr>
        <w:rPr>
          <w:highlight w:val="cyan"/>
        </w:rPr>
      </w:pPr>
    </w:p>
    <w:p w14:paraId="75D79612" w14:textId="77777777" w:rsidR="00BD100C" w:rsidRDefault="00BD100C">
      <w:pPr>
        <w:rPr>
          <w:highlight w:val="cyan"/>
        </w:rPr>
      </w:pPr>
    </w:p>
    <w:p w14:paraId="6AA51C49" w14:textId="77777777" w:rsidR="00BD100C" w:rsidRDefault="00BD100C"/>
    <w:p w14:paraId="5B3AFE26" w14:textId="77777777" w:rsidR="00BD100C" w:rsidRDefault="00BD100C"/>
    <w:p w14:paraId="0134EBA6" w14:textId="77777777" w:rsidR="00BD100C" w:rsidRDefault="00BD100C"/>
    <w:p w14:paraId="739A4488" w14:textId="77777777" w:rsidR="002A0FA6" w:rsidRDefault="002A0FA6" w:rsidP="002A0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us</w:t>
      </w:r>
    </w:p>
    <w:p w14:paraId="004411A5" w14:textId="77777777" w:rsidR="002A0FA6" w:rsidRDefault="002A0FA6" w:rsidP="002A0FA6">
      <w:pPr>
        <w:rPr>
          <w:b/>
          <w:sz w:val="28"/>
          <w:szCs w:val="28"/>
        </w:rPr>
      </w:pPr>
    </w:p>
    <w:p w14:paraId="4E659146" w14:textId="77777777" w:rsidR="002A0FA6" w:rsidRDefault="002A0FA6" w:rsidP="002A0FA6">
      <w:r>
        <w:t>John Pringle M.Ed. (Applied Linguistics)</w:t>
      </w:r>
    </w:p>
    <w:p w14:paraId="29831C53" w14:textId="77777777" w:rsidR="002A0FA6" w:rsidRDefault="002A0FA6" w:rsidP="002A0FA6">
      <w:r>
        <w:t>Lecturer, Academic English Program, Vantage College</w:t>
      </w:r>
    </w:p>
    <w:p w14:paraId="25E2619D" w14:textId="77777777" w:rsidR="002A0FA6" w:rsidRDefault="002A0FA6" w:rsidP="002A0FA6">
      <w:hyperlink r:id="rId8">
        <w:r>
          <w:rPr>
            <w:color w:val="1155CC"/>
            <w:u w:val="single"/>
          </w:rPr>
          <w:t>john.pringle@ubc.ca</w:t>
        </w:r>
      </w:hyperlink>
      <w:r>
        <w:t xml:space="preserve"> or 604 827 2585</w:t>
      </w:r>
    </w:p>
    <w:p w14:paraId="78C7861E" w14:textId="77777777" w:rsidR="002A0FA6" w:rsidRDefault="002A0FA6" w:rsidP="002A0FA6"/>
    <w:p w14:paraId="1971350C" w14:textId="77777777" w:rsidR="002A0FA6" w:rsidRDefault="002A0FA6" w:rsidP="002A0FA6"/>
    <w:p w14:paraId="270CC27C" w14:textId="77777777" w:rsidR="002A0FA6" w:rsidRDefault="002A0FA6" w:rsidP="002A0FA6">
      <w:r>
        <w:t>Isabeau Iqbal, PhD</w:t>
      </w:r>
    </w:p>
    <w:p w14:paraId="2F8DE092" w14:textId="77777777" w:rsidR="002A0FA6" w:rsidRDefault="002A0FA6" w:rsidP="002A0FA6">
      <w:r>
        <w:t>Senior Educational Consultant, Centre for Teaching, Learning and Technology</w:t>
      </w:r>
    </w:p>
    <w:p w14:paraId="70ED0C7D" w14:textId="77777777" w:rsidR="002A0FA6" w:rsidRDefault="002A0FA6" w:rsidP="002A0FA6">
      <w:hyperlink r:id="rId9">
        <w:r>
          <w:rPr>
            <w:color w:val="1155CC"/>
            <w:u w:val="single"/>
          </w:rPr>
          <w:t>isabeau.iqbal@ubc.ca</w:t>
        </w:r>
      </w:hyperlink>
      <w:r>
        <w:t xml:space="preserve"> or 604-827-0648</w:t>
      </w:r>
    </w:p>
    <w:p w14:paraId="5105143D" w14:textId="77777777" w:rsidR="002A0FA6" w:rsidRDefault="002A0FA6" w:rsidP="002A0FA6"/>
    <w:p w14:paraId="6640EBBC" w14:textId="77777777" w:rsidR="00BD100C" w:rsidRDefault="00BD100C">
      <w:pPr>
        <w:rPr>
          <w:b/>
          <w:sz w:val="28"/>
          <w:szCs w:val="28"/>
        </w:rPr>
      </w:pPr>
      <w:bookmarkStart w:id="1" w:name="_GoBack"/>
      <w:bookmarkEnd w:id="1"/>
    </w:p>
    <w:p w14:paraId="63A0807C" w14:textId="77777777" w:rsidR="00BD100C" w:rsidRDefault="00BD100C">
      <w:pPr>
        <w:rPr>
          <w:b/>
          <w:sz w:val="28"/>
          <w:szCs w:val="28"/>
        </w:rPr>
      </w:pPr>
    </w:p>
    <w:p w14:paraId="1F6DFDA6" w14:textId="52DD0583" w:rsidR="00BD100C" w:rsidRDefault="002A0FA6">
      <w:pPr>
        <w:rPr>
          <w:b/>
          <w:sz w:val="28"/>
          <w:szCs w:val="28"/>
        </w:rPr>
      </w:pPr>
      <w:r w:rsidRPr="002A0FA6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7CA1" wp14:editId="76E31F0C">
                <wp:simplePos x="0" y="0"/>
                <wp:positionH relativeFrom="column">
                  <wp:posOffset>1231641</wp:posOffset>
                </wp:positionH>
                <wp:positionV relativeFrom="paragraph">
                  <wp:posOffset>238151</wp:posOffset>
                </wp:positionV>
                <wp:extent cx="3984314" cy="855345"/>
                <wp:effectExtent l="0" t="0" r="0" b="0"/>
                <wp:wrapNone/>
                <wp:docPr id="418" name="Google Shape;418;p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314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31DE5" w14:textId="77777777" w:rsidR="002A0FA6" w:rsidRPr="002A0FA6" w:rsidRDefault="002A0FA6" w:rsidP="002A0F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FA6">
                              <w:rPr>
                                <w:rFonts w:ascii="Raleway" w:eastAsia="Raleway" w:hAnsi="Raleway" w:cs="Ralew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This work is licensed under a </w:t>
                            </w:r>
                            <w:hyperlink r:id="rId10" w:history="1"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Creative C</w:t>
                              </w:r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mmons Attribution-</w:t>
                              </w:r>
                              <w:proofErr w:type="spellStart"/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NonCommercial</w:t>
                              </w:r>
                              <w:proofErr w:type="spellEnd"/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ShareAlike</w:t>
                              </w:r>
                              <w:proofErr w:type="spellEnd"/>
                              <w:r w:rsidRPr="002A0FA6">
                                <w:rPr>
                                  <w:rStyle w:val="Hyperlink"/>
                                  <w:rFonts w:ascii="Raleway" w:eastAsia="Raleway" w:hAnsi="Raleway" w:cs="Raleway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4.0 International License</w:t>
                              </w:r>
                            </w:hyperlink>
                            <w:r w:rsidRPr="002A0FA6">
                              <w:rPr>
                                <w:rFonts w:ascii="Raleway" w:eastAsia="Raleway" w:hAnsi="Raleway" w:cs="Raleway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  Please attribute John Pringle and Isabeau Iqbal and the UBC Centre for Teaching, Learning and Technology.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67CA1" id="_x0000_t202" coordsize="21600,21600" o:spt="202" path="m,l,21600r21600,l21600,xe">
                <v:stroke joinstyle="miter"/>
                <v:path gradientshapeok="t" o:connecttype="rect"/>
              </v:shapetype>
              <v:shape id="Google Shape;418;p59" o:spid="_x0000_s1026" type="#_x0000_t202" style="position:absolute;margin-left:97pt;margin-top:18.75pt;width:313.75pt;height:6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KmizgEAAIkDAAAOAAAAZHJzL2Uyb0RvYy54bWysU9Fu2yAUfZ+0f0C8L44Te0rSONW2KtWk&#13;&#10;aq3U7gMIhhgJuAxI7Pz9LjhNs/Vt2gvmXuDcc869Xt8ORpOj8EGBbWg5mVIiLIdW2X1Df75sPy0o&#13;&#10;CZHZlmmwoqEnEejt5uOHde9WYgYd6FZ4giA2rHrX0C5GtyqKwDthWJiAExYPJXjDIoZ+X7Se9Yhu&#13;&#10;dDGbTj8XPfjWeeAiBMzejYd0k/GlFDw+ShlEJLqhyC3m1ed1l9Zis2arvWeuU/xMg/0DC8OUxaIX&#13;&#10;qDsWGTl49Q7KKO4hgIwTDqYAKRUXWQOqKad/qXnumBNZC5oT3MWm8P9g+Y/jkyeqbWhVYqssM9ik&#13;&#10;e4C9FiSXv8H8jauXyanehRU+eHb4JA5fYcCOv+YDJpMBg/QmfVEawXP0/HTxWQyRcEzOl4tqXlaU&#13;&#10;cDxb1PW8qhNM8fba+RDvBRiSNg312MdsLzs+hDhefb2SilnYKq1zL7X9I4GYKVMk6iPFtIvDbjjr&#13;&#10;2UF7QjnB8a3CWg8sxCfmcQZKSnqci4aGXwfmBSX6u0Xjl2U1q3GQrgN/HeyuA2Z5BzhukZJx+y3m&#13;&#10;4Rs5fjlEkCrrSaxGKmey2O/syHk200Bdx/nW2x+0+Q0AAP//AwBQSwMEFAAGAAgAAAAhAPI0YXHm&#13;&#10;AAAADwEAAA8AAABkcnMvZG93bnJldi54bWxMT8tOwzAQvCPxD9YicUGt0wB9pHEqBAIhpAoREIKb&#13;&#10;GzuxIV6H2G0DX89yopfVjmZ3HvlqcC3b6T5YjwIm4wSYxsori42Al+fb0RxYiBKVbD1qAd86wKo4&#13;&#10;Psplpvwen/SujA0jEQyZFGBi7DLOQ2W0k2HsO43E1b53MhLsG656uSdx1/I0SabcSYvkYGSnr42u&#13;&#10;PsutE7B4fTur3635ae4eP6b1fbm2Xw9rIU5PhpsljaslsKiH+P8Bfx0oPxQUbOO3qAJrCS8uqFAU&#13;&#10;cD67BEYH83RCy4aYWZoCL3J+2KP4BQAA//8DAFBLAQItABQABgAIAAAAIQC2gziS/gAAAOEBAAAT&#13;&#10;AAAAAAAAAAAAAAAAAAAAAABbQ29udGVudF9UeXBlc10ueG1sUEsBAi0AFAAGAAgAAAAhADj9If/W&#13;&#10;AAAAlAEAAAsAAAAAAAAAAAAAAAAALwEAAF9yZWxzLy5yZWxzUEsBAi0AFAAGAAgAAAAhAK0sqaLO&#13;&#10;AQAAiQMAAA4AAAAAAAAAAAAAAAAALgIAAGRycy9lMm9Eb2MueG1sUEsBAi0AFAAGAAgAAAAhAPI0&#13;&#10;YXHmAAAADwEAAA8AAAAAAAAAAAAAAAAAKAQAAGRycy9kb3ducmV2LnhtbFBLBQYAAAAABAAEAPMA&#13;&#10;AAA7BQAAAAA=&#13;&#10;" filled="f" stroked="f">
                <v:textbox inset="2.53958mm,2.53958mm,2.53958mm,2.53958mm">
                  <w:txbxContent>
                    <w:p w14:paraId="15631DE5" w14:textId="77777777" w:rsidR="002A0FA6" w:rsidRPr="002A0FA6" w:rsidRDefault="002A0FA6" w:rsidP="002A0FA6">
                      <w:pPr>
                        <w:rPr>
                          <w:sz w:val="20"/>
                          <w:szCs w:val="20"/>
                        </w:rPr>
                      </w:pPr>
                      <w:r w:rsidRPr="002A0FA6">
                        <w:rPr>
                          <w:rFonts w:ascii="Raleway" w:eastAsia="Raleway" w:hAnsi="Raleway" w:cs="Raleway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This work is licensed under a </w:t>
                      </w:r>
                      <w:hyperlink r:id="rId11" w:history="1"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>Creative C</w:t>
                        </w:r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>mmons Attribution-</w:t>
                        </w:r>
                        <w:proofErr w:type="spellStart"/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>NonCommercial</w:t>
                        </w:r>
                        <w:proofErr w:type="spellEnd"/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proofErr w:type="spellStart"/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>ShareAlike</w:t>
                        </w:r>
                        <w:proofErr w:type="spellEnd"/>
                        <w:r w:rsidRPr="002A0FA6">
                          <w:rPr>
                            <w:rStyle w:val="Hyperlink"/>
                            <w:rFonts w:ascii="Raleway" w:eastAsia="Raleway" w:hAnsi="Raleway" w:cs="Raleway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4.0 International License</w:t>
                        </w:r>
                      </w:hyperlink>
                      <w:r w:rsidRPr="002A0FA6">
                        <w:rPr>
                          <w:rFonts w:ascii="Raleway" w:eastAsia="Raleway" w:hAnsi="Raleway" w:cs="Raleway"/>
                          <w:color w:val="000000"/>
                          <w:sz w:val="20"/>
                          <w:szCs w:val="20"/>
                          <w:lang w:val="en-US"/>
                        </w:rPr>
                        <w:t>.  Please attribute John Pringle and Isabeau Iqbal and the UBC Centre for Teaching, Learning and Technology.</w:t>
                      </w:r>
                    </w:p>
                  </w:txbxContent>
                </v:textbox>
              </v:shape>
            </w:pict>
          </mc:Fallback>
        </mc:AlternateContent>
      </w:r>
    </w:p>
    <w:p w14:paraId="59A892A9" w14:textId="79CD343A" w:rsidR="00BD100C" w:rsidRDefault="002A0F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597DF8" wp14:editId="35AB9773">
            <wp:extent cx="919999" cy="270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05 at 1.43.07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574" cy="27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F3091" w14:textId="77777777" w:rsidR="00BD100C" w:rsidRDefault="00BD100C">
      <w:pPr>
        <w:rPr>
          <w:b/>
          <w:sz w:val="28"/>
          <w:szCs w:val="28"/>
        </w:rPr>
      </w:pPr>
    </w:p>
    <w:p w14:paraId="68C6F5FA" w14:textId="77777777" w:rsidR="00BD100C" w:rsidRDefault="00BD100C">
      <w:pPr>
        <w:rPr>
          <w:b/>
          <w:sz w:val="28"/>
          <w:szCs w:val="28"/>
        </w:rPr>
      </w:pPr>
    </w:p>
    <w:p w14:paraId="33D766B7" w14:textId="77777777" w:rsidR="00BD100C" w:rsidRDefault="00BD100C">
      <w:pPr>
        <w:rPr>
          <w:b/>
          <w:sz w:val="28"/>
          <w:szCs w:val="28"/>
        </w:rPr>
      </w:pPr>
    </w:p>
    <w:p w14:paraId="757B6753" w14:textId="7738D906" w:rsidR="002A0FA6" w:rsidRDefault="002A0FA6"/>
    <w:sectPr w:rsidR="002A0FA6">
      <w:footerReference w:type="default" r:id="rId13"/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4689" w14:textId="77777777" w:rsidR="0080509D" w:rsidRDefault="0080509D">
      <w:pPr>
        <w:spacing w:line="240" w:lineRule="auto"/>
      </w:pPr>
      <w:r>
        <w:separator/>
      </w:r>
    </w:p>
  </w:endnote>
  <w:endnote w:type="continuationSeparator" w:id="0">
    <w:p w14:paraId="7075F57E" w14:textId="77777777" w:rsidR="0080509D" w:rsidRDefault="00805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10D7" w14:textId="77777777" w:rsidR="00BD100C" w:rsidRDefault="0080509D">
    <w:pPr>
      <w:widowControl w:val="0"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line="240" w:lineRule="auto"/>
      <w:rPr>
        <w:i/>
        <w:color w:val="666666"/>
        <w:sz w:val="20"/>
        <w:szCs w:val="20"/>
      </w:rPr>
    </w:pPr>
    <w:r>
      <w:rPr>
        <w:i/>
        <w:color w:val="666666"/>
        <w:sz w:val="20"/>
        <w:szCs w:val="20"/>
      </w:rPr>
      <w:t>Centre for Teaching, Learning and Technology. Summer Institute 2019</w:t>
    </w:r>
  </w:p>
  <w:p w14:paraId="0F38D104" w14:textId="77777777" w:rsidR="00BD100C" w:rsidRDefault="0080509D">
    <w:pPr>
      <w:jc w:val="right"/>
    </w:pPr>
    <w:r>
      <w:fldChar w:fldCharType="begin"/>
    </w:r>
    <w:r>
      <w:instrText>PAGE</w:instrText>
    </w:r>
    <w:r w:rsidR="002A0FA6">
      <w:fldChar w:fldCharType="separate"/>
    </w:r>
    <w:r w:rsidR="002A0F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3E78" w14:textId="77777777" w:rsidR="0080509D" w:rsidRDefault="0080509D">
      <w:pPr>
        <w:spacing w:line="240" w:lineRule="auto"/>
      </w:pPr>
      <w:r>
        <w:separator/>
      </w:r>
    </w:p>
  </w:footnote>
  <w:footnote w:type="continuationSeparator" w:id="0">
    <w:p w14:paraId="32B4A85B" w14:textId="77777777" w:rsidR="0080509D" w:rsidRDefault="00805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0C"/>
    <w:rsid w:val="002A0FA6"/>
    <w:rsid w:val="0080509D"/>
    <w:rsid w:val="00A1689B"/>
    <w:rsid w:val="00B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01DF"/>
  <w15:docId w15:val="{350D93F7-153B-0D4A-9F8A-CFA0884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0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pringle@ubc.c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1.cdn.edl.io/J0lkTcq5z4FLIFYTgF1gpWtfpNv862fAIQNaH7TCkZBQfTNG.pdf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beau.iqbal@ub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2019-09-05T20:44:00Z</dcterms:created>
  <dcterms:modified xsi:type="dcterms:W3CDTF">2019-09-05T20:44:00Z</dcterms:modified>
</cp:coreProperties>
</file>