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D" w:rsidRDefault="00F12CAD" w:rsidP="00F12CAD">
      <w:pPr>
        <w:rPr>
          <w:b/>
          <w:sz w:val="36"/>
          <w:szCs w:val="36"/>
        </w:rPr>
      </w:pPr>
      <w:r w:rsidRPr="00280331">
        <w:rPr>
          <w:b/>
          <w:sz w:val="36"/>
          <w:szCs w:val="36"/>
        </w:rPr>
        <w:t xml:space="preserve">Trauma, 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1)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Assess and stabilize trauma patients with an organized approach, anticipating complications in a timely fashion, using the primary and secondary surveys.</w:t>
      </w:r>
      <w:r w:rsidRPr="00A953D5">
        <w:rPr>
          <w:color w:val="000000"/>
        </w:rPr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Primary Survey: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“2 large bore IVs, O2, monitors”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A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Airway assessment and protection, while maintaining cervical spine stabilization.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B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Breathing and ventilation assessment (maintain adequate oxygenation).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C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Circulation assessment (control hemorrhage and maintain adequate end-organ perfusion). Major areas of hemorrhage are pelvis, abdomen, thorax, and external (from limbs, scalp). FAST exam using ultrasound can be included as part of circulation assessment.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D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 xml:space="preserve">Disability assessment (basic neurologic evaluation). Basic exam includes GCS, pupils, </w:t>
      </w:r>
      <w:proofErr w:type="gramStart"/>
      <w:r w:rsidRPr="00A953D5">
        <w:rPr>
          <w:color w:val="000000"/>
        </w:rPr>
        <w:t>neuro</w:t>
      </w:r>
      <w:proofErr w:type="gramEnd"/>
      <w:r w:rsidRPr="00A953D5">
        <w:rPr>
          <w:color w:val="000000"/>
        </w:rPr>
        <w:t xml:space="preserve"> exam of all 4 limbs. </w:t>
      </w:r>
      <w:proofErr w:type="gramStart"/>
      <w:r w:rsidRPr="00A953D5">
        <w:rPr>
          <w:color w:val="000000"/>
        </w:rPr>
        <w:t>If possible, rapid neuro exam prior to paralysis for intubation.</w:t>
      </w:r>
      <w:proofErr w:type="gramEnd"/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E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Exposure, with environmental control (undress patient and search everywhere for possible injury, while preventing hypothermia).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Secondary Survey: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a) Hx: AMPLE (Allergies, Medications, PMHx, Last meal, Events leading to incident)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b) Head to toe examination, including C-spine, log roll (for spine exam and rectal exam if necessary)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c) Trauma imaging: Chest XR, C-spine XR, </w:t>
      </w:r>
      <w:proofErr w:type="gramStart"/>
      <w:r w:rsidRPr="00A953D5">
        <w:rPr>
          <w:color w:val="000000"/>
        </w:rPr>
        <w:t>Pelvis</w:t>
      </w:r>
      <w:proofErr w:type="gramEnd"/>
      <w:r w:rsidRPr="00A953D5">
        <w:rPr>
          <w:color w:val="000000"/>
        </w:rPr>
        <w:t xml:space="preserve"> XR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d) EKG, trauma labs, +/- additional imaging </w:t>
      </w:r>
      <w:r w:rsidRPr="00A953D5">
        <w:rPr>
          <w:color w:val="000000"/>
        </w:rPr>
        <w:br/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3)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When faced with several trauma patients, triage according to resources and treatment priorities.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The sickest</w:t>
      </w:r>
      <w:r w:rsidRPr="00A953D5">
        <w:rPr>
          <w:rStyle w:val="apple-converted-space"/>
          <w:color w:val="000000"/>
        </w:rPr>
        <w:t> </w:t>
      </w:r>
      <w:r w:rsidRPr="00A953D5">
        <w:rPr>
          <w:b/>
          <w:bCs/>
          <w:color w:val="000000"/>
        </w:rPr>
        <w:t>viable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patients are managed first. </w:t>
      </w:r>
      <w:r w:rsidRPr="00A953D5">
        <w:rPr>
          <w:color w:val="000000"/>
        </w:rPr>
        <w:br/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2)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Suspect, identify, and immediately begin treating life-threatening complications (eg tension pneumothorax, tamponade).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a) Tension pneumothorax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lastRenderedPageBreak/>
        <w:t xml:space="preserve">- </w:t>
      </w:r>
      <w:proofErr w:type="gramStart"/>
      <w:r w:rsidRPr="00A953D5">
        <w:rPr>
          <w:color w:val="000000"/>
        </w:rPr>
        <w:t>if</w:t>
      </w:r>
      <w:proofErr w:type="gramEnd"/>
      <w:r w:rsidRPr="00A953D5">
        <w:rPr>
          <w:color w:val="000000"/>
        </w:rPr>
        <w:t xml:space="preserve"> suspected, treat with needle decompression prior to obtaining Chest XR (14G angiocath in 2</w:t>
      </w:r>
      <w:r w:rsidRPr="00A953D5">
        <w:rPr>
          <w:color w:val="000000"/>
          <w:vertAlign w:val="superscript"/>
        </w:rPr>
        <w:t>nd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ICS, midclavicular)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needle</w:t>
      </w:r>
      <w:proofErr w:type="gramEnd"/>
      <w:r w:rsidRPr="00A953D5">
        <w:rPr>
          <w:color w:val="000000"/>
        </w:rPr>
        <w:t xml:space="preserve"> decompression must be followed by chest tube (4</w:t>
      </w:r>
      <w:r w:rsidRPr="00A953D5">
        <w:rPr>
          <w:color w:val="000000"/>
          <w:vertAlign w:val="superscript"/>
        </w:rPr>
        <w:t>th</w:t>
      </w:r>
      <w:r w:rsidRPr="00A953D5">
        <w:rPr>
          <w:color w:val="000000"/>
        </w:rPr>
        <w:t>-5</w:t>
      </w:r>
      <w:r w:rsidRPr="00A953D5">
        <w:rPr>
          <w:color w:val="000000"/>
          <w:vertAlign w:val="superscript"/>
        </w:rPr>
        <w:t>th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ICS, anterior axillary line)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b) Cardiac tamponade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- ER needle aspiration, or to OR if available </w:t>
      </w:r>
      <w:r w:rsidRPr="00A953D5">
        <w:rPr>
          <w:color w:val="000000"/>
        </w:rPr>
        <w:br/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4)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In trauma patients, secure the airway appropriately  (eg assume cervical spine injury, use conscious sedation, recognize a difficult airway, plan for back-up methods / cricothyroidotomy).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Assessment for difficult airway: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L</w:t>
      </w:r>
      <w:r w:rsidRPr="00A953D5">
        <w:rPr>
          <w:rStyle w:val="apple-converted-space"/>
          <w:color w:val="000000"/>
        </w:rPr>
        <w:t> </w:t>
      </w:r>
      <w:r w:rsidRPr="00A953D5">
        <w:rPr>
          <w:color w:val="000000"/>
        </w:rPr>
        <w:t>Look (trauma, teeth, hair, large tongue)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E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Evaluate 3-3-2 (what you want is mouth opening to fit 3 finger-breadths</w:t>
      </w:r>
      <w:proofErr w:type="gramStart"/>
      <w:r w:rsidRPr="00A953D5">
        <w:rPr>
          <w:color w:val="000000"/>
        </w:rPr>
        <w:t>,   submandibular</w:t>
      </w:r>
      <w:proofErr w:type="gramEnd"/>
      <w:r w:rsidRPr="00A953D5">
        <w:rPr>
          <w:color w:val="000000"/>
        </w:rPr>
        <w:t xml:space="preserve"> length 3 finger-breadths, hyoid to cricoid 2 finger-breadths)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M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Mallampati score (you want 3 or 4)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O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Obstruction, any signs of? Sleep apnea?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N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Neck mobility (neck arthritis, C-spine collar)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Assessment for difficult BVM ventilation: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B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Beard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O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Old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O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Obese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T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Toothless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b/>
          <w:bCs/>
          <w:color w:val="000000"/>
        </w:rPr>
        <w:t>S</w:t>
      </w:r>
      <w:r w:rsidRPr="00A953D5">
        <w:rPr>
          <w:rStyle w:val="apple-converted-space"/>
          <w:b/>
          <w:bCs/>
          <w:color w:val="000000"/>
        </w:rPr>
        <w:t> </w:t>
      </w:r>
      <w:r w:rsidRPr="00A953D5">
        <w:rPr>
          <w:color w:val="000000"/>
        </w:rPr>
        <w:t>Snores </w:t>
      </w:r>
      <w:r w:rsidRPr="00A953D5">
        <w:rPr>
          <w:color w:val="000000"/>
        </w:rPr>
        <w:br/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5)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In a patient with signs and symptoms of 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i/>
          <w:iCs/>
          <w:color w:val="000000"/>
        </w:rPr>
        <w:t>a) Recognize the shock.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Pre-shock: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&lt;10% loss of effective blood volume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compensated</w:t>
      </w:r>
      <w:proofErr w:type="gramEnd"/>
      <w:r w:rsidRPr="00A953D5">
        <w:rPr>
          <w:color w:val="000000"/>
        </w:rPr>
        <w:t xml:space="preserve"> shock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tachycardia</w:t>
      </w:r>
      <w:proofErr w:type="gramEnd"/>
      <w:r w:rsidRPr="00A953D5">
        <w:rPr>
          <w:color w:val="000000"/>
        </w:rPr>
        <w:t>, +/- modest BP change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- 20-25% loss of effective blood volume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s</w:t>
      </w:r>
      <w:proofErr w:type="gramEnd"/>
      <w:r w:rsidRPr="00A953D5">
        <w:rPr>
          <w:color w:val="000000"/>
        </w:rPr>
        <w:t>/s organ dysfunction appear</w:t>
      </w:r>
    </w:p>
    <w:p w:rsidR="00F12CAD" w:rsidRPr="00A953D5" w:rsidRDefault="00F12CAD" w:rsidP="00F12CAD">
      <w:pPr>
        <w:pStyle w:val="NormalWeb"/>
        <w:ind w:left="720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tachycardia</w:t>
      </w:r>
      <w:proofErr w:type="gramEnd"/>
      <w:r w:rsidRPr="00A953D5">
        <w:rPr>
          <w:color w:val="000000"/>
        </w:rPr>
        <w:t>, BP drop, dyspnea, diaphoresis, restlessness, oliguria, cool / mottled skin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End-organ dysfunction:</w:t>
      </w:r>
    </w:p>
    <w:p w:rsidR="00F12CAD" w:rsidRPr="00A953D5" w:rsidRDefault="00F12CAD" w:rsidP="00F12CAD">
      <w:pPr>
        <w:pStyle w:val="NormalWeb"/>
        <w:ind w:left="720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untreated</w:t>
      </w:r>
      <w:proofErr w:type="gramEnd"/>
      <w:r w:rsidRPr="00A953D5">
        <w:rPr>
          <w:color w:val="000000"/>
        </w:rPr>
        <w:t xml:space="preserve"> shock progresses to end-organ dysfunction and death (renal failure, acidosis, obtundation)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i/>
          <w:iCs/>
          <w:color w:val="000000"/>
        </w:rPr>
        <w:t>b) Define the severity and type (eg neurogenic, hypovolemic, septic).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Hypovolemic 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Decreased preload due to intravascular volume loss.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DDx: hemorrhage, fluid loss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Cardiogenic 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Cardiac pump failure.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Cardiomyopathies, MI, arrhythmias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Distributive 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severely</w:t>
      </w:r>
      <w:proofErr w:type="gramEnd"/>
      <w:r w:rsidRPr="00A953D5">
        <w:rPr>
          <w:color w:val="000000"/>
        </w:rPr>
        <w:t xml:space="preserve"> decreased systemic vascular resistance.</w:t>
      </w:r>
    </w:p>
    <w:p w:rsidR="00F12CAD" w:rsidRPr="00A953D5" w:rsidRDefault="00F12CAD" w:rsidP="00F12CAD">
      <w:pPr>
        <w:pStyle w:val="NormalWeb"/>
        <w:ind w:left="720"/>
        <w:rPr>
          <w:color w:val="000000"/>
        </w:rPr>
      </w:pPr>
      <w:r w:rsidRPr="00A953D5">
        <w:rPr>
          <w:color w:val="000000"/>
        </w:rPr>
        <w:t>- DDx: sepsis, SIRS, anaphylaxis, neurogenic (neurogenic shock is disruption of autonomic pathways causing decreased systemic vascular resistance)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Combined shock: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combination</w:t>
      </w:r>
      <w:proofErr w:type="gramEnd"/>
      <w:r w:rsidRPr="00A953D5">
        <w:rPr>
          <w:color w:val="000000"/>
        </w:rPr>
        <w:t xml:space="preserve"> of the above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i/>
          <w:iCs/>
          <w:color w:val="000000"/>
        </w:rPr>
        <w:t>c) Treat the shock.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      - Bolus 20cc/kg crystalloid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with</w:t>
      </w:r>
      <w:proofErr w:type="gramEnd"/>
      <w:r w:rsidRPr="00A953D5">
        <w:rPr>
          <w:color w:val="000000"/>
        </w:rPr>
        <w:t xml:space="preserve"> hemorrhage give blood soon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      - </w:t>
      </w:r>
      <w:proofErr w:type="gramStart"/>
      <w:r w:rsidRPr="00A953D5">
        <w:rPr>
          <w:color w:val="000000"/>
        </w:rPr>
        <w:t>massive</w:t>
      </w:r>
      <w:proofErr w:type="gramEnd"/>
      <w:r w:rsidRPr="00A953D5">
        <w:rPr>
          <w:color w:val="000000"/>
        </w:rPr>
        <w:t xml:space="preserve"> transfusion protocols (eg 1:1:1 pRBCs:platelets:FFP)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6)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In trauma patients, rule out hypothermia on arrival and subsequently (as it may develop during treatment).</w:t>
      </w:r>
      <w:r w:rsidRPr="00A953D5">
        <w:rPr>
          <w:color w:val="000000"/>
        </w:rPr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7)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 xml:space="preserve">Suspect certain medical problems (eg seizure, drug intoxication, hypoglycemia, </w:t>
      </w:r>
      <w:proofErr w:type="gramStart"/>
      <w:r w:rsidRPr="00A953D5">
        <w:rPr>
          <w:i/>
          <w:iCs/>
          <w:color w:val="000000"/>
        </w:rPr>
        <w:t>attempted</w:t>
      </w:r>
      <w:proofErr w:type="gramEnd"/>
      <w:r w:rsidRPr="00A953D5">
        <w:rPr>
          <w:i/>
          <w:iCs/>
          <w:color w:val="000000"/>
        </w:rPr>
        <w:t xml:space="preserve"> suicide) as the precipitant of the trauma.</w:t>
      </w:r>
      <w:r w:rsidRPr="00A953D5">
        <w:rPr>
          <w:color w:val="000000"/>
        </w:rPr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8)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Do not move potentially unstable patients from treatment areas for investigations (eg to Xray, CT).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If you need imaging urgently, a capable physician should accompany the patient.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9)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Determine when patient transfer is necessary (eg CNS bleeds, when no specialty support is available).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This is very dependent on the center you’re practicing in.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10)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Transfer patients in an appropriate manner (ie stabilize them before transfer and choose the method, such as ambulance or flight).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This is very dependent on the center you’re practicing in. Consider intubation for transfer. Indications for intubation include: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oxygenation</w:t>
      </w:r>
      <w:proofErr w:type="gramEnd"/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ventilation</w:t>
      </w:r>
      <w:proofErr w:type="gramEnd"/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expected</w:t>
      </w:r>
      <w:proofErr w:type="gramEnd"/>
      <w:r w:rsidRPr="00A953D5">
        <w:rPr>
          <w:color w:val="000000"/>
        </w:rPr>
        <w:t xml:space="preserve"> clinical course (eg with GCS&lt;8 intubate to prevent aspiration, or with transfer intubate if at all suspecting decompensation during transfer) </w:t>
      </w:r>
      <w:r w:rsidRPr="00A953D5">
        <w:rPr>
          <w:color w:val="000000"/>
        </w:rPr>
        <w:br/>
        <w:t> 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12)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In children with traumatic injury, rule out abuse.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Hx factors suspicious for abuse: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- Hx inconsistent with injuries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- Vague or inconsistent Hx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- Injury attributed to actions of other siblings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Px findings suspicious for abuse: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injuries</w:t>
      </w:r>
      <w:proofErr w:type="gramEnd"/>
      <w:r w:rsidRPr="00A953D5">
        <w:rPr>
          <w:color w:val="000000"/>
        </w:rPr>
        <w:t xml:space="preserve"> not consistent with Hx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multiple</w:t>
      </w:r>
      <w:proofErr w:type="gramEnd"/>
      <w:r w:rsidRPr="00A953D5">
        <w:rPr>
          <w:color w:val="000000"/>
        </w:rPr>
        <w:t xml:space="preserve"> fractures or injuries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likely</w:t>
      </w:r>
      <w:proofErr w:type="gramEnd"/>
      <w:r w:rsidRPr="00A953D5">
        <w:rPr>
          <w:color w:val="000000"/>
        </w:rPr>
        <w:t xml:space="preserve"> inflicted injuries (cigarette burns or patterned bruises)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bruising</w:t>
      </w:r>
      <w:proofErr w:type="gramEnd"/>
      <w:r w:rsidRPr="00A953D5">
        <w:rPr>
          <w:color w:val="000000"/>
        </w:rPr>
        <w:t xml:space="preserve"> in a child that is not yet “cruising” (normally 9-12mo)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bruising</w:t>
      </w:r>
      <w:proofErr w:type="gramEnd"/>
      <w:r w:rsidRPr="00A953D5">
        <w:rPr>
          <w:color w:val="000000"/>
        </w:rPr>
        <w:t xml:space="preserve"> to pinna, neck, abdomen</w:t>
      </w:r>
    </w:p>
    <w:p w:rsidR="00F12CAD" w:rsidRPr="00A953D5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 xml:space="preserve">- </w:t>
      </w:r>
      <w:proofErr w:type="gramStart"/>
      <w:r w:rsidRPr="00A953D5">
        <w:rPr>
          <w:color w:val="000000"/>
        </w:rPr>
        <w:t>genitalia</w:t>
      </w:r>
      <w:proofErr w:type="gramEnd"/>
      <w:r w:rsidRPr="00A953D5">
        <w:rPr>
          <w:color w:val="000000"/>
        </w:rPr>
        <w:t xml:space="preserve"> injury </w:t>
      </w:r>
    </w:p>
    <w:p w:rsidR="00193D8D" w:rsidRPr="00F12CAD" w:rsidRDefault="00F12CAD" w:rsidP="00F12CAD">
      <w:pPr>
        <w:pStyle w:val="NormalWeb"/>
        <w:rPr>
          <w:color w:val="000000"/>
        </w:rPr>
      </w:pPr>
      <w:r w:rsidRPr="00A953D5">
        <w:rPr>
          <w:color w:val="000000"/>
        </w:rPr>
        <w:t>11)</w:t>
      </w:r>
      <w:r w:rsidRPr="00A953D5">
        <w:rPr>
          <w:rStyle w:val="apple-converted-space"/>
          <w:color w:val="000000"/>
        </w:rPr>
        <w:t> </w:t>
      </w:r>
      <w:r w:rsidRPr="00A953D5">
        <w:rPr>
          <w:i/>
          <w:iCs/>
          <w:color w:val="000000"/>
        </w:rPr>
        <w:t>Find opportunities to offer advice to prevent or minimize trauma (eg do not drive drunk, use seatbelts and helmets).</w:t>
      </w:r>
      <w:bookmarkStart w:id="0" w:name="_GoBack"/>
      <w:bookmarkEnd w:id="0"/>
    </w:p>
    <w:sectPr w:rsidR="00193D8D" w:rsidRPr="00F12CA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D"/>
    <w:rsid w:val="00193D8D"/>
    <w:rsid w:val="007B2E5D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2C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12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2C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1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4528</Characters>
  <Application>Microsoft Macintosh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2012-02-19T23:10:00Z</dcterms:created>
  <dcterms:modified xsi:type="dcterms:W3CDTF">2012-02-19T23:10:00Z</dcterms:modified>
</cp:coreProperties>
</file>