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1D" w:rsidRPr="005F511E" w:rsidRDefault="00B36E1D" w:rsidP="00B36E1D">
      <w:pPr>
        <w:jc w:val="center"/>
        <w:rPr>
          <w:rFonts w:ascii="Arial" w:hAnsi="Arial" w:cs="Arial"/>
          <w:b/>
          <w:bCs/>
          <w:sz w:val="22"/>
          <w:szCs w:val="22"/>
          <w:lang w:val="en-CA"/>
        </w:rPr>
      </w:pPr>
      <w:r w:rsidRPr="005F511E">
        <w:rPr>
          <w:rFonts w:ascii="Arial" w:hAnsi="Arial" w:cs="Arial"/>
          <w:b/>
          <w:bCs/>
          <w:sz w:val="22"/>
          <w:szCs w:val="22"/>
          <w:lang w:val="en-CA"/>
        </w:rPr>
        <w:t>UBC library Collections Report 201</w:t>
      </w:r>
      <w:r>
        <w:rPr>
          <w:rFonts w:ascii="Arial" w:hAnsi="Arial" w:cs="Arial"/>
          <w:b/>
          <w:bCs/>
          <w:sz w:val="22"/>
          <w:szCs w:val="22"/>
          <w:lang w:val="en-CA"/>
        </w:rPr>
        <w:t>1</w:t>
      </w:r>
    </w:p>
    <w:p w:rsidR="00B36E1D" w:rsidRPr="00FC003D" w:rsidRDefault="00B36E1D" w:rsidP="00B36E1D">
      <w:pPr>
        <w:rPr>
          <w:rFonts w:ascii="Arial" w:hAnsi="Arial" w:cs="Arial"/>
          <w:sz w:val="22"/>
          <w:szCs w:val="22"/>
          <w:lang w:val="en-CA"/>
        </w:rPr>
      </w:pPr>
    </w:p>
    <w:p w:rsidR="00B36E1D" w:rsidRPr="007E5C4B" w:rsidRDefault="00B36E1D" w:rsidP="00B36E1D">
      <w:pPr>
        <w:rPr>
          <w:rFonts w:ascii="Arial" w:hAnsi="Arial" w:cs="Arial"/>
          <w:sz w:val="20"/>
          <w:szCs w:val="20"/>
          <w:lang w:val="en-CA"/>
        </w:rPr>
      </w:pPr>
      <w:r w:rsidRPr="007E5C4B">
        <w:rPr>
          <w:rFonts w:ascii="Arial" w:hAnsi="Arial" w:cs="Arial"/>
          <w:b/>
          <w:bCs/>
          <w:sz w:val="20"/>
          <w:szCs w:val="20"/>
          <w:lang w:val="en-CA"/>
        </w:rPr>
        <w:t>Budget 201</w:t>
      </w:r>
      <w:r>
        <w:rPr>
          <w:rFonts w:ascii="Arial" w:hAnsi="Arial" w:cs="Arial"/>
          <w:b/>
          <w:bCs/>
          <w:sz w:val="20"/>
          <w:szCs w:val="20"/>
          <w:lang w:val="en-CA"/>
        </w:rPr>
        <w:t>1-2012</w:t>
      </w:r>
    </w:p>
    <w:p w:rsidR="00B36E1D" w:rsidRPr="007E5C4B" w:rsidRDefault="00B36E1D" w:rsidP="00B36E1D">
      <w:pPr>
        <w:rPr>
          <w:rFonts w:ascii="Arial" w:hAnsi="Arial" w:cs="Arial"/>
          <w:sz w:val="20"/>
          <w:szCs w:val="20"/>
        </w:rPr>
      </w:pPr>
      <w:r w:rsidRPr="007E5C4B">
        <w:rPr>
          <w:rFonts w:ascii="Arial" w:hAnsi="Arial" w:cs="Arial"/>
          <w:sz w:val="20"/>
          <w:szCs w:val="20"/>
        </w:rPr>
        <w:t>The collections budget for the 201</w:t>
      </w:r>
      <w:r>
        <w:rPr>
          <w:rFonts w:ascii="Arial" w:hAnsi="Arial" w:cs="Arial"/>
          <w:sz w:val="20"/>
          <w:szCs w:val="20"/>
        </w:rPr>
        <w:t>1</w:t>
      </w:r>
      <w:r w:rsidRPr="007E5C4B">
        <w:rPr>
          <w:rFonts w:ascii="Arial" w:hAnsi="Arial" w:cs="Arial"/>
          <w:sz w:val="20"/>
          <w:szCs w:val="20"/>
        </w:rPr>
        <w:t>-201</w:t>
      </w:r>
      <w:r>
        <w:rPr>
          <w:rFonts w:ascii="Arial" w:hAnsi="Arial" w:cs="Arial"/>
          <w:sz w:val="20"/>
          <w:szCs w:val="20"/>
        </w:rPr>
        <w:t>2</w:t>
      </w:r>
      <w:r w:rsidRPr="007E5C4B">
        <w:rPr>
          <w:rFonts w:ascii="Arial" w:hAnsi="Arial" w:cs="Arial"/>
          <w:sz w:val="20"/>
          <w:szCs w:val="20"/>
        </w:rPr>
        <w:t xml:space="preserve"> year, making up 41% of the Library’s total budget, is $13.1 million</w:t>
      </w:r>
      <w:r>
        <w:rPr>
          <w:rFonts w:ascii="Arial" w:hAnsi="Arial" w:cs="Arial"/>
          <w:sz w:val="20"/>
          <w:szCs w:val="20"/>
        </w:rPr>
        <w:t>. There were no increases from</w:t>
      </w:r>
      <w:r w:rsidRPr="007E5C4B">
        <w:rPr>
          <w:rFonts w:ascii="Arial" w:hAnsi="Arial" w:cs="Arial"/>
          <w:sz w:val="20"/>
          <w:szCs w:val="20"/>
        </w:rPr>
        <w:t xml:space="preserve"> the previous year. </w:t>
      </w:r>
      <w:r>
        <w:rPr>
          <w:rFonts w:ascii="Arial" w:hAnsi="Arial" w:cs="Arial"/>
          <w:sz w:val="20"/>
          <w:szCs w:val="20"/>
        </w:rPr>
        <w:t>The library is</w:t>
      </w:r>
      <w:r w:rsidRPr="007E5C4B">
        <w:rPr>
          <w:rFonts w:ascii="Arial" w:hAnsi="Arial" w:cs="Arial"/>
          <w:sz w:val="20"/>
          <w:szCs w:val="20"/>
        </w:rPr>
        <w:t xml:space="preserve"> not receiving funding to increase our purchasing power and the library is not even receiving enough funding to maintain the current receipt of online resources.</w:t>
      </w:r>
    </w:p>
    <w:p w:rsidR="00B36E1D" w:rsidRPr="007E5C4B" w:rsidRDefault="00B36E1D" w:rsidP="00B36E1D">
      <w:pPr>
        <w:rPr>
          <w:rFonts w:ascii="Arial" w:hAnsi="Arial" w:cs="Arial"/>
          <w:sz w:val="20"/>
          <w:szCs w:val="20"/>
          <w:lang w:val="en-CA"/>
        </w:rPr>
      </w:pPr>
    </w:p>
    <w:p w:rsidR="00B36E1D" w:rsidRPr="007E5C4B" w:rsidRDefault="00B36E1D" w:rsidP="00B36E1D">
      <w:pPr>
        <w:rPr>
          <w:rFonts w:ascii="Arial" w:hAnsi="Arial" w:cs="Arial"/>
          <w:sz w:val="20"/>
          <w:szCs w:val="20"/>
          <w:lang w:val="en-CA"/>
        </w:rPr>
      </w:pPr>
      <w:r w:rsidRPr="007E5C4B">
        <w:rPr>
          <w:rFonts w:ascii="Arial" w:hAnsi="Arial" w:cs="Arial"/>
          <w:b/>
          <w:bCs/>
          <w:sz w:val="20"/>
          <w:szCs w:val="20"/>
          <w:lang w:val="en-CA"/>
        </w:rPr>
        <w:t xml:space="preserve">Expenditures for </w:t>
      </w:r>
      <w:r>
        <w:rPr>
          <w:rFonts w:ascii="Arial" w:hAnsi="Arial" w:cs="Arial"/>
          <w:b/>
          <w:bCs/>
          <w:sz w:val="20"/>
          <w:szCs w:val="20"/>
          <w:lang w:val="en-CA"/>
        </w:rPr>
        <w:t>Science and Engineering</w:t>
      </w:r>
      <w:r w:rsidRPr="007E5C4B">
        <w:rPr>
          <w:rFonts w:ascii="Arial" w:hAnsi="Arial" w:cs="Arial"/>
          <w:b/>
          <w:bCs/>
          <w:sz w:val="20"/>
          <w:szCs w:val="20"/>
          <w:lang w:val="en-CA"/>
        </w:rPr>
        <w:t xml:space="preserve"> 20</w:t>
      </w:r>
      <w:r>
        <w:rPr>
          <w:rFonts w:ascii="Arial" w:hAnsi="Arial" w:cs="Arial"/>
          <w:b/>
          <w:bCs/>
          <w:sz w:val="20"/>
          <w:szCs w:val="20"/>
          <w:lang w:val="en-CA"/>
        </w:rPr>
        <w:t>10 -2011</w:t>
      </w:r>
    </w:p>
    <w:tbl>
      <w:tblPr>
        <w:tblW w:w="11160" w:type="dxa"/>
        <w:tblInd w:w="-522" w:type="dxa"/>
        <w:tblLayout w:type="fixed"/>
        <w:tblLook w:val="0000" w:firstRow="0" w:lastRow="0" w:firstColumn="0" w:lastColumn="0" w:noHBand="0" w:noVBand="0"/>
      </w:tblPr>
      <w:tblGrid>
        <w:gridCol w:w="2340"/>
        <w:gridCol w:w="1170"/>
        <w:gridCol w:w="1080"/>
        <w:gridCol w:w="1080"/>
        <w:gridCol w:w="1170"/>
        <w:gridCol w:w="1170"/>
        <w:gridCol w:w="1170"/>
        <w:gridCol w:w="900"/>
        <w:gridCol w:w="1080"/>
      </w:tblGrid>
      <w:tr w:rsidR="00B36E1D" w:rsidRPr="007E5C4B" w:rsidTr="00796BF7">
        <w:trPr>
          <w:trHeight w:val="1020"/>
        </w:trPr>
        <w:tc>
          <w:tcPr>
            <w:tcW w:w="2340" w:type="dxa"/>
            <w:tcBorders>
              <w:top w:val="single" w:sz="4" w:space="0" w:color="auto"/>
              <w:left w:val="single" w:sz="4" w:space="0" w:color="auto"/>
              <w:bottom w:val="single" w:sz="4" w:space="0" w:color="auto"/>
              <w:right w:val="single" w:sz="4" w:space="0" w:color="auto"/>
            </w:tcBorders>
            <w:shd w:val="clear" w:color="auto" w:fill="99CCFF"/>
            <w:vAlign w:val="bottom"/>
          </w:tcPr>
          <w:p w:rsidR="00B36E1D" w:rsidRPr="002C211B" w:rsidRDefault="00B36E1D" w:rsidP="00796BF7">
            <w:pPr>
              <w:jc w:val="center"/>
              <w:rPr>
                <w:rFonts w:ascii="Arial" w:hAnsi="Arial" w:cs="Arial"/>
                <w:sz w:val="18"/>
                <w:szCs w:val="18"/>
              </w:rPr>
            </w:pPr>
            <w:r w:rsidRPr="002C211B">
              <w:rPr>
                <w:rFonts w:ascii="Arial" w:hAnsi="Arial" w:cs="Arial"/>
                <w:sz w:val="18"/>
                <w:szCs w:val="18"/>
              </w:rPr>
              <w:t>LIBRARY</w:t>
            </w:r>
          </w:p>
        </w:tc>
        <w:tc>
          <w:tcPr>
            <w:tcW w:w="1170" w:type="dxa"/>
            <w:tcBorders>
              <w:top w:val="single" w:sz="4" w:space="0" w:color="auto"/>
              <w:left w:val="nil"/>
              <w:bottom w:val="single" w:sz="4" w:space="0" w:color="auto"/>
              <w:right w:val="single" w:sz="4" w:space="0" w:color="auto"/>
            </w:tcBorders>
            <w:shd w:val="clear" w:color="auto" w:fill="99CCFF"/>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 xml:space="preserve">Print Serials </w:t>
            </w:r>
          </w:p>
        </w:tc>
        <w:tc>
          <w:tcPr>
            <w:tcW w:w="1080" w:type="dxa"/>
            <w:tcBorders>
              <w:top w:val="single" w:sz="4" w:space="0" w:color="auto"/>
              <w:left w:val="nil"/>
              <w:bottom w:val="single" w:sz="4" w:space="0" w:color="auto"/>
              <w:right w:val="single" w:sz="4" w:space="0" w:color="auto"/>
            </w:tcBorders>
            <w:shd w:val="clear" w:color="auto" w:fill="99CCFF"/>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Mono</w:t>
            </w:r>
            <w:r>
              <w:rPr>
                <w:rFonts w:ascii="Arial" w:hAnsi="Arial" w:cs="Arial"/>
                <w:sz w:val="18"/>
                <w:szCs w:val="18"/>
              </w:rPr>
              <w:t>-</w:t>
            </w:r>
            <w:r w:rsidRPr="002C211B">
              <w:rPr>
                <w:rFonts w:ascii="Arial" w:hAnsi="Arial" w:cs="Arial"/>
                <w:sz w:val="18"/>
                <w:szCs w:val="18"/>
              </w:rPr>
              <w:t>graphs</w:t>
            </w:r>
          </w:p>
        </w:tc>
        <w:tc>
          <w:tcPr>
            <w:tcW w:w="1080" w:type="dxa"/>
            <w:tcBorders>
              <w:top w:val="single" w:sz="4" w:space="0" w:color="auto"/>
              <w:left w:val="nil"/>
              <w:bottom w:val="single" w:sz="4" w:space="0" w:color="auto"/>
              <w:right w:val="single" w:sz="4" w:space="0" w:color="auto"/>
            </w:tcBorders>
            <w:shd w:val="clear" w:color="auto" w:fill="99CCFF"/>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One-Time</w:t>
            </w:r>
            <w:r w:rsidRPr="002C211B">
              <w:rPr>
                <w:rFonts w:ascii="Arial" w:hAnsi="Arial" w:cs="Arial"/>
                <w:sz w:val="18"/>
                <w:szCs w:val="18"/>
              </w:rPr>
              <w:br/>
              <w:t>Electronic</w:t>
            </w:r>
          </w:p>
        </w:tc>
        <w:tc>
          <w:tcPr>
            <w:tcW w:w="1170" w:type="dxa"/>
            <w:tcBorders>
              <w:top w:val="single" w:sz="4" w:space="0" w:color="auto"/>
              <w:left w:val="nil"/>
              <w:bottom w:val="single" w:sz="4" w:space="0" w:color="auto"/>
              <w:right w:val="single" w:sz="4" w:space="0" w:color="auto"/>
            </w:tcBorders>
            <w:shd w:val="clear" w:color="auto" w:fill="99CCFF"/>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 xml:space="preserve">Serial </w:t>
            </w:r>
            <w:r w:rsidRPr="002C211B">
              <w:rPr>
                <w:rFonts w:ascii="Arial" w:hAnsi="Arial" w:cs="Arial"/>
                <w:sz w:val="18"/>
                <w:szCs w:val="18"/>
              </w:rPr>
              <w:br/>
              <w:t>Electronic</w:t>
            </w:r>
          </w:p>
        </w:tc>
        <w:tc>
          <w:tcPr>
            <w:tcW w:w="1170" w:type="dxa"/>
            <w:tcBorders>
              <w:top w:val="single" w:sz="4" w:space="0" w:color="auto"/>
              <w:left w:val="nil"/>
              <w:bottom w:val="single" w:sz="4" w:space="0" w:color="auto"/>
              <w:right w:val="single" w:sz="4" w:space="0" w:color="auto"/>
            </w:tcBorders>
            <w:shd w:val="clear" w:color="auto" w:fill="99CCFF"/>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Total</w:t>
            </w:r>
            <w:r w:rsidRPr="002C211B">
              <w:rPr>
                <w:rFonts w:ascii="Arial" w:hAnsi="Arial" w:cs="Arial"/>
                <w:sz w:val="18"/>
                <w:szCs w:val="18"/>
              </w:rPr>
              <w:br/>
              <w:t>Electronic</w:t>
            </w:r>
          </w:p>
        </w:tc>
        <w:tc>
          <w:tcPr>
            <w:tcW w:w="1170" w:type="dxa"/>
            <w:tcBorders>
              <w:top w:val="single" w:sz="4" w:space="0" w:color="auto"/>
              <w:left w:val="nil"/>
              <w:bottom w:val="single" w:sz="4" w:space="0" w:color="auto"/>
              <w:right w:val="single" w:sz="4" w:space="0" w:color="auto"/>
            </w:tcBorders>
            <w:shd w:val="clear" w:color="auto" w:fill="99CCFF"/>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GPOF Total</w:t>
            </w:r>
          </w:p>
        </w:tc>
        <w:tc>
          <w:tcPr>
            <w:tcW w:w="900" w:type="dxa"/>
            <w:tcBorders>
              <w:top w:val="single" w:sz="4" w:space="0" w:color="auto"/>
              <w:left w:val="nil"/>
              <w:bottom w:val="single" w:sz="4" w:space="0" w:color="auto"/>
              <w:right w:val="single" w:sz="4" w:space="0" w:color="auto"/>
            </w:tcBorders>
            <w:shd w:val="clear" w:color="auto" w:fill="CCFFCC"/>
            <w:vAlign w:val="bottom"/>
          </w:tcPr>
          <w:p w:rsidR="00B36E1D" w:rsidRPr="002C211B" w:rsidRDefault="00B36E1D" w:rsidP="00796BF7">
            <w:pPr>
              <w:jc w:val="center"/>
              <w:rPr>
                <w:rFonts w:ascii="Arial" w:hAnsi="Arial" w:cs="Arial"/>
                <w:sz w:val="18"/>
                <w:szCs w:val="18"/>
              </w:rPr>
            </w:pPr>
            <w:r w:rsidRPr="002C211B">
              <w:rPr>
                <w:rFonts w:ascii="Arial" w:hAnsi="Arial" w:cs="Arial"/>
                <w:sz w:val="18"/>
                <w:szCs w:val="18"/>
              </w:rPr>
              <w:t>Shared</w:t>
            </w:r>
            <w:r w:rsidRPr="002C211B">
              <w:rPr>
                <w:rFonts w:ascii="Arial" w:hAnsi="Arial" w:cs="Arial"/>
                <w:sz w:val="18"/>
                <w:szCs w:val="18"/>
              </w:rPr>
              <w:br/>
              <w:t>Costs</w:t>
            </w:r>
            <w:r w:rsidRPr="002C211B">
              <w:rPr>
                <w:rFonts w:ascii="Arial" w:hAnsi="Arial" w:cs="Arial"/>
                <w:sz w:val="18"/>
                <w:szCs w:val="18"/>
              </w:rPr>
              <w:br/>
            </w:r>
            <w:proofErr w:type="spellStart"/>
            <w:r w:rsidRPr="002C211B">
              <w:rPr>
                <w:rFonts w:ascii="Arial" w:hAnsi="Arial" w:cs="Arial"/>
                <w:sz w:val="18"/>
                <w:szCs w:val="18"/>
              </w:rPr>
              <w:t>Monos</w:t>
            </w:r>
            <w:proofErr w:type="spellEnd"/>
          </w:p>
        </w:tc>
        <w:tc>
          <w:tcPr>
            <w:tcW w:w="1080" w:type="dxa"/>
            <w:tcBorders>
              <w:top w:val="single" w:sz="4" w:space="0" w:color="auto"/>
              <w:left w:val="nil"/>
              <w:bottom w:val="single" w:sz="4" w:space="0" w:color="auto"/>
              <w:right w:val="single" w:sz="4" w:space="0" w:color="auto"/>
            </w:tcBorders>
            <w:shd w:val="clear" w:color="auto" w:fill="CCFFCC"/>
            <w:vAlign w:val="bottom"/>
          </w:tcPr>
          <w:p w:rsidR="00B36E1D" w:rsidRPr="002C211B" w:rsidRDefault="00B36E1D" w:rsidP="00796BF7">
            <w:pPr>
              <w:jc w:val="center"/>
              <w:rPr>
                <w:rFonts w:ascii="Arial" w:hAnsi="Arial" w:cs="Arial"/>
                <w:sz w:val="18"/>
                <w:szCs w:val="18"/>
              </w:rPr>
            </w:pPr>
            <w:r w:rsidRPr="002C211B">
              <w:rPr>
                <w:rFonts w:ascii="Arial" w:hAnsi="Arial" w:cs="Arial"/>
                <w:sz w:val="18"/>
                <w:szCs w:val="18"/>
              </w:rPr>
              <w:t>Shared</w:t>
            </w:r>
            <w:r w:rsidRPr="002C211B">
              <w:rPr>
                <w:rFonts w:ascii="Arial" w:hAnsi="Arial" w:cs="Arial"/>
                <w:sz w:val="18"/>
                <w:szCs w:val="18"/>
              </w:rPr>
              <w:br/>
              <w:t>Costs</w:t>
            </w:r>
            <w:r w:rsidRPr="002C211B">
              <w:rPr>
                <w:rFonts w:ascii="Arial" w:hAnsi="Arial" w:cs="Arial"/>
                <w:sz w:val="18"/>
                <w:szCs w:val="18"/>
              </w:rPr>
              <w:br/>
              <w:t>Electronic</w:t>
            </w:r>
          </w:p>
        </w:tc>
      </w:tr>
      <w:tr w:rsidR="00B36E1D" w:rsidRPr="007E5C4B" w:rsidTr="00796BF7">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Science/Engineering</w:t>
            </w:r>
          </w:p>
        </w:tc>
        <w:tc>
          <w:tcPr>
            <w:tcW w:w="1170" w:type="dxa"/>
            <w:tcBorders>
              <w:top w:val="nil"/>
              <w:left w:val="nil"/>
              <w:bottom w:val="single" w:sz="4" w:space="0" w:color="auto"/>
              <w:right w:val="single" w:sz="4" w:space="0" w:color="auto"/>
            </w:tcBorders>
            <w:shd w:val="clear" w:color="auto" w:fill="auto"/>
            <w:noWrap/>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$178,689</w:t>
            </w:r>
          </w:p>
        </w:tc>
        <w:tc>
          <w:tcPr>
            <w:tcW w:w="1080" w:type="dxa"/>
            <w:tcBorders>
              <w:top w:val="nil"/>
              <w:left w:val="nil"/>
              <w:bottom w:val="single" w:sz="4" w:space="0" w:color="auto"/>
              <w:right w:val="single" w:sz="4" w:space="0" w:color="auto"/>
            </w:tcBorders>
            <w:shd w:val="clear" w:color="auto" w:fill="auto"/>
            <w:noWrap/>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 xml:space="preserve">$62,183 </w:t>
            </w:r>
          </w:p>
        </w:tc>
        <w:tc>
          <w:tcPr>
            <w:tcW w:w="1080" w:type="dxa"/>
            <w:tcBorders>
              <w:top w:val="nil"/>
              <w:left w:val="nil"/>
              <w:bottom w:val="single" w:sz="4" w:space="0" w:color="auto"/>
              <w:right w:val="single" w:sz="4" w:space="0" w:color="auto"/>
            </w:tcBorders>
            <w:shd w:val="clear" w:color="auto" w:fill="auto"/>
            <w:noWrap/>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$14,616</w:t>
            </w:r>
          </w:p>
        </w:tc>
        <w:tc>
          <w:tcPr>
            <w:tcW w:w="1170" w:type="dxa"/>
            <w:tcBorders>
              <w:top w:val="nil"/>
              <w:left w:val="nil"/>
              <w:bottom w:val="single" w:sz="4" w:space="0" w:color="auto"/>
              <w:right w:val="single" w:sz="4" w:space="0" w:color="auto"/>
            </w:tcBorders>
            <w:shd w:val="clear" w:color="auto" w:fill="auto"/>
            <w:noWrap/>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 $886,948</w:t>
            </w:r>
          </w:p>
        </w:tc>
        <w:tc>
          <w:tcPr>
            <w:tcW w:w="1170" w:type="dxa"/>
            <w:tcBorders>
              <w:top w:val="nil"/>
              <w:left w:val="nil"/>
              <w:bottom w:val="single" w:sz="4" w:space="0" w:color="auto"/>
              <w:right w:val="single" w:sz="4" w:space="0" w:color="auto"/>
            </w:tcBorders>
            <w:shd w:val="clear" w:color="auto" w:fill="auto"/>
            <w:noWrap/>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 xml:space="preserve">          $901,564   </w:t>
            </w:r>
          </w:p>
        </w:tc>
        <w:tc>
          <w:tcPr>
            <w:tcW w:w="1170" w:type="dxa"/>
            <w:tcBorders>
              <w:top w:val="nil"/>
              <w:left w:val="nil"/>
              <w:bottom w:val="single" w:sz="4" w:space="0" w:color="auto"/>
              <w:right w:val="single" w:sz="4" w:space="0" w:color="auto"/>
            </w:tcBorders>
            <w:shd w:val="clear" w:color="auto" w:fill="auto"/>
            <w:noWrap/>
            <w:vAlign w:val="bottom"/>
          </w:tcPr>
          <w:p w:rsidR="00B36E1D" w:rsidRPr="002C211B" w:rsidRDefault="00B36E1D" w:rsidP="00796BF7">
            <w:pPr>
              <w:rPr>
                <w:rFonts w:ascii="Arial" w:hAnsi="Arial" w:cs="Arial"/>
                <w:b/>
                <w:bCs/>
                <w:sz w:val="18"/>
                <w:szCs w:val="18"/>
              </w:rPr>
            </w:pPr>
            <w:r w:rsidRPr="002C211B">
              <w:rPr>
                <w:rFonts w:ascii="Arial" w:hAnsi="Arial" w:cs="Arial"/>
                <w:b/>
                <w:bCs/>
                <w:sz w:val="18"/>
                <w:szCs w:val="18"/>
              </w:rPr>
              <w:t xml:space="preserve">$1,142,436 </w:t>
            </w:r>
          </w:p>
        </w:tc>
        <w:tc>
          <w:tcPr>
            <w:tcW w:w="900" w:type="dxa"/>
            <w:tcBorders>
              <w:top w:val="nil"/>
              <w:left w:val="nil"/>
              <w:bottom w:val="single" w:sz="4" w:space="0" w:color="auto"/>
              <w:right w:val="single" w:sz="4" w:space="0" w:color="auto"/>
            </w:tcBorders>
            <w:shd w:val="clear" w:color="auto" w:fill="auto"/>
            <w:noWrap/>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 $2,150</w:t>
            </w:r>
          </w:p>
        </w:tc>
        <w:tc>
          <w:tcPr>
            <w:tcW w:w="1080" w:type="dxa"/>
            <w:tcBorders>
              <w:top w:val="nil"/>
              <w:left w:val="nil"/>
              <w:bottom w:val="single" w:sz="4" w:space="0" w:color="auto"/>
              <w:right w:val="single" w:sz="4" w:space="0" w:color="auto"/>
            </w:tcBorders>
            <w:shd w:val="clear" w:color="auto" w:fill="auto"/>
            <w:noWrap/>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 </w:t>
            </w:r>
          </w:p>
        </w:tc>
      </w:tr>
      <w:tr w:rsidR="00B36E1D" w:rsidRPr="007E5C4B" w:rsidTr="00796BF7">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Consortia/bundle purchases</w:t>
            </w:r>
          </w:p>
        </w:tc>
        <w:tc>
          <w:tcPr>
            <w:tcW w:w="1170" w:type="dxa"/>
            <w:tcBorders>
              <w:top w:val="nil"/>
              <w:left w:val="nil"/>
              <w:bottom w:val="single" w:sz="4" w:space="0" w:color="auto"/>
              <w:right w:val="single" w:sz="4" w:space="0" w:color="auto"/>
            </w:tcBorders>
            <w:shd w:val="clear" w:color="auto" w:fill="auto"/>
            <w:noWrap/>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 $1,625,000</w:t>
            </w:r>
          </w:p>
        </w:tc>
        <w:tc>
          <w:tcPr>
            <w:tcW w:w="1170" w:type="dxa"/>
            <w:tcBorders>
              <w:top w:val="nil"/>
              <w:left w:val="nil"/>
              <w:bottom w:val="single" w:sz="4" w:space="0" w:color="auto"/>
              <w:right w:val="single" w:sz="4" w:space="0" w:color="auto"/>
            </w:tcBorders>
            <w:shd w:val="clear" w:color="auto" w:fill="auto"/>
            <w:noWrap/>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$1,625,000</w:t>
            </w:r>
          </w:p>
        </w:tc>
        <w:tc>
          <w:tcPr>
            <w:tcW w:w="1170" w:type="dxa"/>
            <w:tcBorders>
              <w:top w:val="nil"/>
              <w:left w:val="nil"/>
              <w:bottom w:val="single" w:sz="4" w:space="0" w:color="auto"/>
              <w:right w:val="single" w:sz="4" w:space="0" w:color="auto"/>
            </w:tcBorders>
            <w:shd w:val="clear" w:color="auto" w:fill="auto"/>
            <w:noWrap/>
            <w:vAlign w:val="bottom"/>
          </w:tcPr>
          <w:p w:rsidR="00B36E1D" w:rsidRPr="00250455" w:rsidRDefault="00B36E1D" w:rsidP="00796BF7">
            <w:pPr>
              <w:rPr>
                <w:rFonts w:ascii="Arial" w:hAnsi="Arial" w:cs="Arial"/>
                <w:b/>
                <w:bCs/>
                <w:sz w:val="18"/>
                <w:szCs w:val="18"/>
              </w:rPr>
            </w:pPr>
            <w:r w:rsidRPr="00250455">
              <w:rPr>
                <w:rFonts w:ascii="Arial" w:hAnsi="Arial" w:cs="Arial"/>
                <w:b/>
                <w:bCs/>
                <w:sz w:val="18"/>
                <w:szCs w:val="18"/>
              </w:rPr>
              <w:t>$1,625,000</w:t>
            </w:r>
          </w:p>
        </w:tc>
        <w:tc>
          <w:tcPr>
            <w:tcW w:w="900" w:type="dxa"/>
            <w:tcBorders>
              <w:top w:val="nil"/>
              <w:left w:val="nil"/>
              <w:bottom w:val="single" w:sz="4" w:space="0" w:color="auto"/>
              <w:right w:val="single" w:sz="4" w:space="0" w:color="auto"/>
            </w:tcBorders>
            <w:shd w:val="clear" w:color="auto" w:fill="auto"/>
            <w:noWrap/>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 </w:t>
            </w:r>
          </w:p>
        </w:tc>
      </w:tr>
      <w:tr w:rsidR="00B36E1D" w:rsidRPr="007E5C4B" w:rsidTr="00796BF7">
        <w:trPr>
          <w:trHeight w:val="255"/>
        </w:trPr>
        <w:tc>
          <w:tcPr>
            <w:tcW w:w="2340" w:type="dxa"/>
            <w:tcBorders>
              <w:top w:val="nil"/>
              <w:left w:val="single" w:sz="4" w:space="0" w:color="auto"/>
              <w:bottom w:val="single" w:sz="4" w:space="0" w:color="auto"/>
              <w:right w:val="single" w:sz="4" w:space="0" w:color="auto"/>
            </w:tcBorders>
            <w:shd w:val="clear" w:color="auto" w:fill="C0C0C0"/>
            <w:noWrap/>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 </w:t>
            </w:r>
          </w:p>
        </w:tc>
        <w:tc>
          <w:tcPr>
            <w:tcW w:w="1170" w:type="dxa"/>
            <w:tcBorders>
              <w:top w:val="nil"/>
              <w:left w:val="nil"/>
              <w:bottom w:val="single" w:sz="4" w:space="0" w:color="auto"/>
              <w:right w:val="single" w:sz="4" w:space="0" w:color="auto"/>
            </w:tcBorders>
            <w:shd w:val="clear" w:color="auto" w:fill="C0C0C0"/>
            <w:noWrap/>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C0C0C0"/>
            <w:noWrap/>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C0C0C0"/>
            <w:noWrap/>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 </w:t>
            </w:r>
          </w:p>
        </w:tc>
        <w:tc>
          <w:tcPr>
            <w:tcW w:w="1170" w:type="dxa"/>
            <w:tcBorders>
              <w:top w:val="nil"/>
              <w:left w:val="nil"/>
              <w:bottom w:val="single" w:sz="4" w:space="0" w:color="auto"/>
              <w:right w:val="single" w:sz="4" w:space="0" w:color="auto"/>
            </w:tcBorders>
            <w:shd w:val="clear" w:color="auto" w:fill="C0C0C0"/>
            <w:noWrap/>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 </w:t>
            </w:r>
          </w:p>
        </w:tc>
        <w:tc>
          <w:tcPr>
            <w:tcW w:w="1170" w:type="dxa"/>
            <w:tcBorders>
              <w:top w:val="nil"/>
              <w:left w:val="nil"/>
              <w:bottom w:val="single" w:sz="4" w:space="0" w:color="auto"/>
              <w:right w:val="single" w:sz="4" w:space="0" w:color="auto"/>
            </w:tcBorders>
            <w:shd w:val="clear" w:color="auto" w:fill="C0C0C0"/>
            <w:noWrap/>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 </w:t>
            </w:r>
          </w:p>
        </w:tc>
        <w:tc>
          <w:tcPr>
            <w:tcW w:w="1170" w:type="dxa"/>
            <w:tcBorders>
              <w:top w:val="nil"/>
              <w:left w:val="nil"/>
              <w:bottom w:val="single" w:sz="4" w:space="0" w:color="auto"/>
              <w:right w:val="single" w:sz="4" w:space="0" w:color="auto"/>
            </w:tcBorders>
            <w:shd w:val="clear" w:color="auto" w:fill="C0C0C0"/>
            <w:noWrap/>
            <w:vAlign w:val="bottom"/>
          </w:tcPr>
          <w:p w:rsidR="00B36E1D" w:rsidRPr="002C211B" w:rsidRDefault="00B36E1D" w:rsidP="00796BF7">
            <w:pPr>
              <w:rPr>
                <w:rFonts w:ascii="Arial" w:hAnsi="Arial" w:cs="Arial"/>
                <w:b/>
                <w:bCs/>
                <w:sz w:val="18"/>
                <w:szCs w:val="18"/>
              </w:rPr>
            </w:pPr>
            <w:r w:rsidRPr="002C211B">
              <w:rPr>
                <w:rFonts w:ascii="Arial" w:hAnsi="Arial" w:cs="Arial"/>
                <w:b/>
                <w:bCs/>
                <w:sz w:val="18"/>
                <w:szCs w:val="18"/>
              </w:rPr>
              <w:t> </w:t>
            </w:r>
          </w:p>
        </w:tc>
        <w:tc>
          <w:tcPr>
            <w:tcW w:w="900" w:type="dxa"/>
            <w:tcBorders>
              <w:top w:val="nil"/>
              <w:left w:val="nil"/>
              <w:bottom w:val="single" w:sz="4" w:space="0" w:color="auto"/>
              <w:right w:val="single" w:sz="4" w:space="0" w:color="auto"/>
            </w:tcBorders>
            <w:shd w:val="clear" w:color="auto" w:fill="C0C0C0"/>
            <w:noWrap/>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C0C0C0"/>
            <w:noWrap/>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 </w:t>
            </w:r>
          </w:p>
        </w:tc>
      </w:tr>
      <w:tr w:rsidR="00B36E1D" w:rsidRPr="007E5C4B" w:rsidTr="00796BF7">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Sub Total</w:t>
            </w:r>
          </w:p>
        </w:tc>
        <w:tc>
          <w:tcPr>
            <w:tcW w:w="1170" w:type="dxa"/>
            <w:tcBorders>
              <w:top w:val="nil"/>
              <w:left w:val="nil"/>
              <w:bottom w:val="single" w:sz="4" w:space="0" w:color="auto"/>
              <w:right w:val="single" w:sz="4" w:space="0" w:color="auto"/>
            </w:tcBorders>
            <w:shd w:val="clear" w:color="auto" w:fill="auto"/>
            <w:noWrap/>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$178,689</w:t>
            </w:r>
          </w:p>
        </w:tc>
        <w:tc>
          <w:tcPr>
            <w:tcW w:w="1080" w:type="dxa"/>
            <w:tcBorders>
              <w:top w:val="nil"/>
              <w:left w:val="nil"/>
              <w:bottom w:val="single" w:sz="4" w:space="0" w:color="auto"/>
              <w:right w:val="single" w:sz="4" w:space="0" w:color="auto"/>
            </w:tcBorders>
            <w:shd w:val="clear" w:color="auto" w:fill="auto"/>
            <w:noWrap/>
            <w:vAlign w:val="bottom"/>
          </w:tcPr>
          <w:p w:rsidR="00B36E1D" w:rsidRPr="00250455" w:rsidRDefault="00B36E1D" w:rsidP="00796BF7">
            <w:pPr>
              <w:rPr>
                <w:rFonts w:ascii="Arial" w:hAnsi="Arial" w:cs="Arial"/>
                <w:sz w:val="18"/>
                <w:szCs w:val="18"/>
              </w:rPr>
            </w:pPr>
            <w:r w:rsidRPr="00250455">
              <w:rPr>
                <w:rFonts w:ascii="Arial" w:hAnsi="Arial" w:cs="Arial"/>
                <w:sz w:val="18"/>
                <w:szCs w:val="18"/>
              </w:rPr>
              <w:t>$62,183</w:t>
            </w:r>
          </w:p>
        </w:tc>
        <w:tc>
          <w:tcPr>
            <w:tcW w:w="1080" w:type="dxa"/>
            <w:tcBorders>
              <w:top w:val="nil"/>
              <w:left w:val="nil"/>
              <w:bottom w:val="single" w:sz="4" w:space="0" w:color="auto"/>
              <w:right w:val="single" w:sz="4" w:space="0" w:color="auto"/>
            </w:tcBorders>
            <w:shd w:val="clear" w:color="auto" w:fill="auto"/>
            <w:noWrap/>
            <w:vAlign w:val="bottom"/>
          </w:tcPr>
          <w:p w:rsidR="00B36E1D" w:rsidRPr="00250455" w:rsidRDefault="00B36E1D" w:rsidP="00796BF7">
            <w:pPr>
              <w:rPr>
                <w:rFonts w:ascii="Arial" w:hAnsi="Arial" w:cs="Arial"/>
                <w:sz w:val="18"/>
                <w:szCs w:val="18"/>
              </w:rPr>
            </w:pPr>
            <w:r w:rsidRPr="00250455">
              <w:rPr>
                <w:rFonts w:ascii="Arial" w:hAnsi="Arial" w:cs="Arial"/>
                <w:sz w:val="18"/>
                <w:szCs w:val="18"/>
              </w:rPr>
              <w:t>$ 14,616</w:t>
            </w:r>
          </w:p>
        </w:tc>
        <w:tc>
          <w:tcPr>
            <w:tcW w:w="1170" w:type="dxa"/>
            <w:tcBorders>
              <w:top w:val="nil"/>
              <w:left w:val="nil"/>
              <w:bottom w:val="single" w:sz="4" w:space="0" w:color="auto"/>
              <w:right w:val="single" w:sz="4" w:space="0" w:color="auto"/>
            </w:tcBorders>
            <w:shd w:val="clear" w:color="auto" w:fill="auto"/>
            <w:noWrap/>
            <w:vAlign w:val="bottom"/>
          </w:tcPr>
          <w:p w:rsidR="00B36E1D" w:rsidRPr="00250455" w:rsidRDefault="00B36E1D" w:rsidP="00796BF7">
            <w:pPr>
              <w:rPr>
                <w:rFonts w:ascii="Arial" w:hAnsi="Arial" w:cs="Arial"/>
                <w:sz w:val="18"/>
                <w:szCs w:val="18"/>
              </w:rPr>
            </w:pPr>
            <w:r w:rsidRPr="00250455">
              <w:rPr>
                <w:rFonts w:ascii="Arial" w:hAnsi="Arial" w:cs="Arial"/>
                <w:sz w:val="18"/>
                <w:szCs w:val="18"/>
              </w:rPr>
              <w:t xml:space="preserve">  $2,511,948</w:t>
            </w:r>
          </w:p>
        </w:tc>
        <w:tc>
          <w:tcPr>
            <w:tcW w:w="1170" w:type="dxa"/>
            <w:tcBorders>
              <w:top w:val="nil"/>
              <w:left w:val="nil"/>
              <w:bottom w:val="single" w:sz="4" w:space="0" w:color="auto"/>
              <w:right w:val="single" w:sz="4" w:space="0" w:color="auto"/>
            </w:tcBorders>
            <w:shd w:val="clear" w:color="auto" w:fill="auto"/>
            <w:noWrap/>
            <w:vAlign w:val="bottom"/>
          </w:tcPr>
          <w:p w:rsidR="00B36E1D" w:rsidRPr="00250455" w:rsidRDefault="00B36E1D" w:rsidP="00796BF7">
            <w:pPr>
              <w:rPr>
                <w:rFonts w:ascii="Arial" w:hAnsi="Arial" w:cs="Arial"/>
                <w:sz w:val="18"/>
                <w:szCs w:val="18"/>
              </w:rPr>
            </w:pPr>
            <w:r w:rsidRPr="00250455">
              <w:rPr>
                <w:rFonts w:ascii="Arial" w:hAnsi="Arial" w:cs="Arial"/>
                <w:sz w:val="18"/>
                <w:szCs w:val="18"/>
              </w:rPr>
              <w:t xml:space="preserve">  $2,526,564</w:t>
            </w:r>
          </w:p>
        </w:tc>
        <w:tc>
          <w:tcPr>
            <w:tcW w:w="1170" w:type="dxa"/>
            <w:tcBorders>
              <w:top w:val="nil"/>
              <w:left w:val="nil"/>
              <w:bottom w:val="single" w:sz="4" w:space="0" w:color="auto"/>
              <w:right w:val="single" w:sz="4" w:space="0" w:color="auto"/>
            </w:tcBorders>
            <w:shd w:val="clear" w:color="auto" w:fill="auto"/>
            <w:noWrap/>
            <w:vAlign w:val="bottom"/>
          </w:tcPr>
          <w:p w:rsidR="00B36E1D" w:rsidRPr="00250455" w:rsidRDefault="00B36E1D" w:rsidP="00796BF7">
            <w:pPr>
              <w:rPr>
                <w:rFonts w:ascii="Arial" w:hAnsi="Arial" w:cs="Arial"/>
                <w:b/>
                <w:bCs/>
                <w:sz w:val="18"/>
                <w:szCs w:val="18"/>
              </w:rPr>
            </w:pPr>
            <w:r w:rsidRPr="00250455">
              <w:rPr>
                <w:rFonts w:ascii="Arial" w:hAnsi="Arial" w:cs="Arial"/>
                <w:b/>
                <w:bCs/>
                <w:sz w:val="18"/>
                <w:szCs w:val="18"/>
              </w:rPr>
              <w:t xml:space="preserve">$2,767,436 </w:t>
            </w:r>
          </w:p>
        </w:tc>
        <w:tc>
          <w:tcPr>
            <w:tcW w:w="900" w:type="dxa"/>
            <w:tcBorders>
              <w:top w:val="nil"/>
              <w:left w:val="nil"/>
              <w:bottom w:val="single" w:sz="4" w:space="0" w:color="auto"/>
              <w:right w:val="single" w:sz="4" w:space="0" w:color="auto"/>
            </w:tcBorders>
            <w:shd w:val="clear" w:color="auto" w:fill="auto"/>
            <w:noWrap/>
            <w:vAlign w:val="bottom"/>
          </w:tcPr>
          <w:p w:rsidR="00B36E1D" w:rsidRPr="00250455" w:rsidRDefault="00B36E1D" w:rsidP="00796BF7">
            <w:pPr>
              <w:rPr>
                <w:rFonts w:ascii="Arial" w:hAnsi="Arial" w:cs="Arial"/>
                <w:sz w:val="18"/>
                <w:szCs w:val="18"/>
              </w:rPr>
            </w:pPr>
            <w:r w:rsidRPr="00250455">
              <w:rPr>
                <w:rFonts w:ascii="Arial" w:hAnsi="Arial" w:cs="Arial"/>
                <w:sz w:val="18"/>
                <w:szCs w:val="18"/>
              </w:rPr>
              <w:t xml:space="preserve">     $2,150 </w:t>
            </w:r>
          </w:p>
        </w:tc>
        <w:tc>
          <w:tcPr>
            <w:tcW w:w="1080" w:type="dxa"/>
            <w:tcBorders>
              <w:top w:val="nil"/>
              <w:left w:val="nil"/>
              <w:bottom w:val="single" w:sz="4" w:space="0" w:color="auto"/>
              <w:right w:val="single" w:sz="4" w:space="0" w:color="auto"/>
            </w:tcBorders>
            <w:shd w:val="clear" w:color="auto" w:fill="auto"/>
            <w:noWrap/>
            <w:vAlign w:val="bottom"/>
          </w:tcPr>
          <w:p w:rsidR="00B36E1D" w:rsidRPr="002C211B" w:rsidRDefault="00B36E1D" w:rsidP="00796BF7">
            <w:pPr>
              <w:rPr>
                <w:rFonts w:ascii="Arial" w:hAnsi="Arial" w:cs="Arial"/>
                <w:sz w:val="18"/>
                <w:szCs w:val="18"/>
              </w:rPr>
            </w:pPr>
            <w:r w:rsidRPr="002C211B">
              <w:rPr>
                <w:rFonts w:ascii="Arial" w:hAnsi="Arial" w:cs="Arial"/>
                <w:sz w:val="18"/>
                <w:szCs w:val="18"/>
              </w:rPr>
              <w:t xml:space="preserve">    0 </w:t>
            </w:r>
          </w:p>
        </w:tc>
      </w:tr>
    </w:tbl>
    <w:p w:rsidR="00B36E1D" w:rsidRDefault="00B36E1D" w:rsidP="00B36E1D">
      <w:pPr>
        <w:rPr>
          <w:rFonts w:ascii="Arial" w:hAnsi="Arial" w:cs="Arial"/>
          <w:sz w:val="20"/>
          <w:szCs w:val="20"/>
          <w:lang w:val="en-CA"/>
        </w:rPr>
      </w:pPr>
      <w:r>
        <w:rPr>
          <w:rFonts w:ascii="Arial" w:hAnsi="Arial" w:cs="Arial"/>
          <w:sz w:val="20"/>
          <w:szCs w:val="20"/>
          <w:lang w:val="en-CA"/>
        </w:rPr>
        <w:t>*Shared= departmental/faculty partnerships</w:t>
      </w:r>
    </w:p>
    <w:p w:rsidR="00B36E1D" w:rsidRPr="00D8149E" w:rsidRDefault="00B36E1D" w:rsidP="00B36E1D">
      <w:pPr>
        <w:rPr>
          <w:rFonts w:ascii="Arial" w:hAnsi="Arial" w:cs="Arial"/>
          <w:sz w:val="20"/>
          <w:szCs w:val="20"/>
          <w:lang w:val="en-CA"/>
        </w:rPr>
      </w:pPr>
    </w:p>
    <w:p w:rsidR="00B36E1D" w:rsidRPr="00D8149E" w:rsidRDefault="00B36E1D" w:rsidP="00B36E1D">
      <w:pPr>
        <w:rPr>
          <w:rFonts w:ascii="Arial" w:hAnsi="Arial" w:cs="Arial"/>
          <w:sz w:val="20"/>
          <w:szCs w:val="20"/>
          <w:lang w:val="en-CA"/>
        </w:rPr>
      </w:pPr>
      <w:r w:rsidRPr="00D8149E">
        <w:rPr>
          <w:rFonts w:ascii="Arial" w:hAnsi="Arial" w:cs="Arial"/>
          <w:sz w:val="20"/>
          <w:szCs w:val="20"/>
          <w:lang w:val="en-CA"/>
        </w:rPr>
        <w:t>Total cost 2009-2010= $2,768,375</w:t>
      </w:r>
    </w:p>
    <w:p w:rsidR="00B36E1D" w:rsidRPr="00D8149E" w:rsidRDefault="00B36E1D" w:rsidP="00B36E1D">
      <w:pPr>
        <w:ind w:left="360"/>
        <w:rPr>
          <w:rFonts w:ascii="Arial" w:hAnsi="Arial" w:cs="Arial"/>
          <w:sz w:val="20"/>
          <w:szCs w:val="20"/>
          <w:lang w:val="en-CA"/>
        </w:rPr>
      </w:pPr>
    </w:p>
    <w:p w:rsidR="00B36E1D" w:rsidRPr="00D8149E" w:rsidRDefault="00B36E1D" w:rsidP="00B36E1D">
      <w:pPr>
        <w:pStyle w:val="NormalWeb"/>
        <w:spacing w:before="0" w:beforeAutospacing="0" w:after="0" w:afterAutospacing="0"/>
        <w:rPr>
          <w:rFonts w:ascii="Arial" w:hAnsi="Arial" w:cs="Arial"/>
          <w:sz w:val="20"/>
          <w:szCs w:val="20"/>
        </w:rPr>
      </w:pPr>
      <w:r w:rsidRPr="00D8149E">
        <w:rPr>
          <w:rStyle w:val="Strong"/>
          <w:rFonts w:ascii="Arial" w:hAnsi="Arial" w:cs="Arial"/>
          <w:sz w:val="20"/>
          <w:szCs w:val="20"/>
        </w:rPr>
        <w:t>Why has the buying power of the library’s budget decreased?</w:t>
      </w:r>
    </w:p>
    <w:p w:rsidR="00B36E1D" w:rsidRPr="00D8149E" w:rsidRDefault="00B36E1D" w:rsidP="00B36E1D">
      <w:pPr>
        <w:pStyle w:val="NormalWeb"/>
        <w:spacing w:before="0" w:beforeAutospacing="0" w:after="0" w:afterAutospacing="0"/>
        <w:rPr>
          <w:rFonts w:ascii="Arial" w:hAnsi="Arial" w:cs="Arial"/>
          <w:sz w:val="20"/>
          <w:szCs w:val="20"/>
        </w:rPr>
      </w:pPr>
      <w:r w:rsidRPr="00D8149E">
        <w:rPr>
          <w:rFonts w:ascii="Arial" w:hAnsi="Arial" w:cs="Arial"/>
          <w:sz w:val="20"/>
          <w:szCs w:val="20"/>
        </w:rPr>
        <w:t xml:space="preserve">This is the result of several issues. One issue is currency fluctuation.  Many of the resources we purchase come from outside of </w:t>
      </w:r>
      <w:smartTag w:uri="urn:schemas-microsoft-com:office:smarttags" w:element="country-region">
        <w:smartTag w:uri="urn:schemas-microsoft-com:office:smarttags" w:element="place">
          <w:r w:rsidRPr="00D8149E">
            <w:rPr>
              <w:rFonts w:ascii="Arial" w:hAnsi="Arial" w:cs="Arial"/>
              <w:sz w:val="20"/>
              <w:szCs w:val="20"/>
            </w:rPr>
            <w:t>Canada</w:t>
          </w:r>
        </w:smartTag>
      </w:smartTag>
      <w:r w:rsidRPr="00D8149E">
        <w:rPr>
          <w:rFonts w:ascii="Arial" w:hAnsi="Arial" w:cs="Arial"/>
          <w:sz w:val="20"/>
          <w:szCs w:val="20"/>
        </w:rPr>
        <w:t xml:space="preserve"> and are primarily US based.  When currency and exchange rates change, this can result in resource costs increasing. In addition, the inflation rate on average can be as high as 5% ($600,000 on $13.1 million) a year.  Many library materials have price increases beyond the inflation rate every year, making it even more difficult to find ongoing funds for these materials. Academic journals from commercial publishers are an example of this.</w:t>
      </w:r>
    </w:p>
    <w:p w:rsidR="00B36E1D" w:rsidRPr="00D8149E" w:rsidRDefault="00B36E1D" w:rsidP="00B36E1D">
      <w:pPr>
        <w:rPr>
          <w:rFonts w:ascii="Arial" w:hAnsi="Arial" w:cs="Arial"/>
          <w:sz w:val="20"/>
          <w:szCs w:val="20"/>
          <w:lang w:val="en-CA"/>
        </w:rPr>
      </w:pPr>
    </w:p>
    <w:p w:rsidR="00B36E1D" w:rsidRPr="00D8149E" w:rsidRDefault="00B36E1D" w:rsidP="00B36E1D">
      <w:pPr>
        <w:outlineLvl w:val="0"/>
        <w:rPr>
          <w:rFonts w:ascii="Arial" w:hAnsi="Arial" w:cs="Arial"/>
          <w:b/>
          <w:sz w:val="20"/>
          <w:szCs w:val="20"/>
          <w:lang w:val="en-CA"/>
        </w:rPr>
      </w:pPr>
      <w:r w:rsidRPr="00D8149E">
        <w:rPr>
          <w:rFonts w:ascii="Arial" w:hAnsi="Arial" w:cs="Arial"/>
          <w:b/>
          <w:sz w:val="20"/>
          <w:szCs w:val="20"/>
          <w:lang w:val="en-CA"/>
        </w:rPr>
        <w:t>Some of the top journals UBC researchers publish in and use:</w:t>
      </w:r>
    </w:p>
    <w:p w:rsidR="00B36E1D" w:rsidRPr="00D8149E" w:rsidRDefault="00B36E1D" w:rsidP="00B36E1D">
      <w:pPr>
        <w:rPr>
          <w:rFonts w:ascii="Arial" w:hAnsi="Arial" w:cs="Arial"/>
          <w:sz w:val="20"/>
          <w:szCs w:val="20"/>
          <w:lang w:val="en-CA"/>
        </w:rPr>
      </w:pPr>
      <w:r w:rsidRPr="00D8149E">
        <w:rPr>
          <w:rFonts w:ascii="Arial" w:hAnsi="Arial" w:cs="Arial"/>
          <w:sz w:val="20"/>
          <w:szCs w:val="20"/>
          <w:lang w:val="en-CA"/>
        </w:rPr>
        <w:t>Cost Difference from 2004 – 2011 (increase 52.85%)</w:t>
      </w:r>
    </w:p>
    <w:p w:rsidR="00B36E1D" w:rsidRPr="00095C39" w:rsidRDefault="00B36E1D" w:rsidP="00B36E1D">
      <w:pPr>
        <w:rPr>
          <w:rFonts w:ascii="Arial" w:hAnsi="Arial" w:cs="Arial"/>
          <w:sz w:val="16"/>
          <w:szCs w:val="16"/>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800"/>
        <w:gridCol w:w="1350"/>
      </w:tblGrid>
      <w:tr w:rsidR="00B36E1D" w:rsidRPr="00A563B6" w:rsidTr="00796BF7">
        <w:tc>
          <w:tcPr>
            <w:tcW w:w="5418" w:type="dxa"/>
            <w:shd w:val="clear" w:color="auto" w:fill="000000"/>
          </w:tcPr>
          <w:p w:rsidR="00B36E1D" w:rsidRPr="00A563B6" w:rsidRDefault="00B36E1D" w:rsidP="00796BF7">
            <w:pPr>
              <w:rPr>
                <w:rFonts w:ascii="Arial" w:hAnsi="Arial" w:cs="Arial"/>
                <w:b/>
                <w:color w:val="FFFFFF"/>
                <w:sz w:val="20"/>
                <w:szCs w:val="20"/>
                <w:lang w:val="en-CA"/>
              </w:rPr>
            </w:pPr>
            <w:r w:rsidRPr="00A563B6">
              <w:rPr>
                <w:rFonts w:ascii="Arial" w:hAnsi="Arial" w:cs="Arial"/>
                <w:b/>
                <w:color w:val="FFFFFF"/>
                <w:sz w:val="20"/>
                <w:szCs w:val="20"/>
                <w:lang w:val="en-CA"/>
              </w:rPr>
              <w:t>Journal</w:t>
            </w:r>
          </w:p>
        </w:tc>
        <w:tc>
          <w:tcPr>
            <w:tcW w:w="1800" w:type="dxa"/>
            <w:shd w:val="clear" w:color="auto" w:fill="000000"/>
          </w:tcPr>
          <w:p w:rsidR="00B36E1D" w:rsidRPr="00A563B6" w:rsidRDefault="00B36E1D" w:rsidP="00796BF7">
            <w:pPr>
              <w:jc w:val="center"/>
              <w:rPr>
                <w:rFonts w:ascii="Arial" w:hAnsi="Arial" w:cs="Arial"/>
                <w:b/>
                <w:color w:val="FFFFFF"/>
                <w:sz w:val="20"/>
                <w:szCs w:val="20"/>
                <w:lang w:val="en-CA"/>
              </w:rPr>
            </w:pPr>
            <w:r w:rsidRPr="00A563B6">
              <w:rPr>
                <w:rFonts w:ascii="Arial" w:hAnsi="Arial" w:cs="Arial"/>
                <w:b/>
                <w:color w:val="FFFFFF"/>
                <w:sz w:val="20"/>
                <w:szCs w:val="20"/>
                <w:lang w:val="en-CA"/>
              </w:rPr>
              <w:t xml:space="preserve">2004 </w:t>
            </w:r>
            <w:r>
              <w:rPr>
                <w:rFonts w:ascii="Arial" w:hAnsi="Arial" w:cs="Arial"/>
                <w:b/>
                <w:color w:val="FFFFFF"/>
                <w:sz w:val="20"/>
                <w:szCs w:val="20"/>
                <w:lang w:val="en-CA"/>
              </w:rPr>
              <w:t>cost</w:t>
            </w:r>
          </w:p>
        </w:tc>
        <w:tc>
          <w:tcPr>
            <w:tcW w:w="1350" w:type="dxa"/>
            <w:shd w:val="clear" w:color="auto" w:fill="000000"/>
          </w:tcPr>
          <w:p w:rsidR="00B36E1D" w:rsidRPr="00A563B6" w:rsidRDefault="00B36E1D" w:rsidP="00796BF7">
            <w:pPr>
              <w:jc w:val="center"/>
              <w:rPr>
                <w:rFonts w:ascii="Arial" w:hAnsi="Arial" w:cs="Arial"/>
                <w:b/>
                <w:color w:val="FFFFFF"/>
                <w:sz w:val="20"/>
                <w:szCs w:val="20"/>
                <w:lang w:val="en-CA"/>
              </w:rPr>
            </w:pPr>
            <w:r>
              <w:rPr>
                <w:rFonts w:ascii="Arial" w:hAnsi="Arial" w:cs="Arial"/>
                <w:b/>
                <w:color w:val="FFFFFF"/>
                <w:sz w:val="20"/>
                <w:szCs w:val="20"/>
                <w:lang w:val="en-CA"/>
              </w:rPr>
              <w:t>2011 cost</w:t>
            </w:r>
          </w:p>
        </w:tc>
      </w:tr>
      <w:tr w:rsidR="00B36E1D" w:rsidRPr="00A563B6" w:rsidTr="00796BF7">
        <w:tc>
          <w:tcPr>
            <w:tcW w:w="5418" w:type="dxa"/>
            <w:shd w:val="clear" w:color="auto" w:fill="auto"/>
          </w:tcPr>
          <w:p w:rsidR="00B36E1D" w:rsidRPr="00A563B6" w:rsidRDefault="00B36E1D" w:rsidP="00796BF7">
            <w:pPr>
              <w:rPr>
                <w:rFonts w:ascii="Arial" w:hAnsi="Arial" w:cs="Arial"/>
                <w:sz w:val="20"/>
                <w:szCs w:val="20"/>
                <w:lang w:val="en-CA"/>
              </w:rPr>
            </w:pPr>
            <w:r w:rsidRPr="00A563B6">
              <w:rPr>
                <w:rFonts w:ascii="Arial" w:hAnsi="Arial" w:cs="Arial"/>
                <w:sz w:val="20"/>
                <w:szCs w:val="20"/>
                <w:lang w:val="en-CA"/>
              </w:rPr>
              <w:t>Cell</w:t>
            </w:r>
          </w:p>
        </w:tc>
        <w:tc>
          <w:tcPr>
            <w:tcW w:w="1800" w:type="dxa"/>
            <w:shd w:val="clear" w:color="auto" w:fill="auto"/>
          </w:tcPr>
          <w:p w:rsidR="00B36E1D" w:rsidRPr="00A563B6" w:rsidRDefault="00B36E1D" w:rsidP="00796BF7">
            <w:pPr>
              <w:jc w:val="right"/>
              <w:rPr>
                <w:rFonts w:ascii="Arial" w:hAnsi="Arial" w:cs="Arial"/>
                <w:sz w:val="20"/>
                <w:szCs w:val="20"/>
                <w:lang w:val="en-CA"/>
              </w:rPr>
            </w:pPr>
            <w:r w:rsidRPr="00A563B6">
              <w:rPr>
                <w:rFonts w:ascii="Arial" w:hAnsi="Arial" w:cs="Arial"/>
                <w:sz w:val="20"/>
                <w:szCs w:val="20"/>
                <w:lang w:val="en-CA"/>
              </w:rPr>
              <w:t>$881.00</w:t>
            </w:r>
          </w:p>
        </w:tc>
        <w:tc>
          <w:tcPr>
            <w:tcW w:w="1350" w:type="dxa"/>
            <w:shd w:val="clear" w:color="auto" w:fill="auto"/>
          </w:tcPr>
          <w:p w:rsidR="00B36E1D" w:rsidRPr="00A563B6" w:rsidRDefault="00B36E1D" w:rsidP="00796BF7">
            <w:pPr>
              <w:jc w:val="right"/>
              <w:rPr>
                <w:rFonts w:ascii="Arial" w:hAnsi="Arial" w:cs="Arial"/>
                <w:sz w:val="20"/>
                <w:szCs w:val="20"/>
                <w:lang w:val="en-CA"/>
              </w:rPr>
            </w:pPr>
            <w:r w:rsidRPr="00A563B6">
              <w:rPr>
                <w:rFonts w:ascii="Arial" w:hAnsi="Arial" w:cs="Arial"/>
                <w:sz w:val="20"/>
                <w:szCs w:val="20"/>
                <w:lang w:val="en-CA"/>
              </w:rPr>
              <w:t>$9,246.23</w:t>
            </w:r>
          </w:p>
        </w:tc>
      </w:tr>
      <w:tr w:rsidR="00B36E1D" w:rsidRPr="00A563B6" w:rsidTr="00796BF7">
        <w:tc>
          <w:tcPr>
            <w:tcW w:w="5418" w:type="dxa"/>
            <w:shd w:val="clear" w:color="auto" w:fill="auto"/>
          </w:tcPr>
          <w:p w:rsidR="00B36E1D" w:rsidRPr="00A563B6" w:rsidRDefault="00B36E1D" w:rsidP="00796BF7">
            <w:pPr>
              <w:rPr>
                <w:rFonts w:ascii="Arial" w:hAnsi="Arial" w:cs="Arial"/>
                <w:sz w:val="20"/>
                <w:szCs w:val="20"/>
                <w:lang w:val="en-CA"/>
              </w:rPr>
            </w:pPr>
            <w:r w:rsidRPr="00A563B6">
              <w:rPr>
                <w:rFonts w:ascii="Arial" w:hAnsi="Arial" w:cs="Arial"/>
                <w:sz w:val="20"/>
                <w:szCs w:val="20"/>
                <w:lang w:val="en-CA"/>
              </w:rPr>
              <w:t>Biochemical and Biophysical Research Communications</w:t>
            </w:r>
          </w:p>
        </w:tc>
        <w:tc>
          <w:tcPr>
            <w:tcW w:w="1800" w:type="dxa"/>
            <w:shd w:val="clear" w:color="auto" w:fill="auto"/>
          </w:tcPr>
          <w:p w:rsidR="00B36E1D" w:rsidRPr="00A563B6" w:rsidRDefault="00B36E1D" w:rsidP="00796BF7">
            <w:pPr>
              <w:jc w:val="right"/>
              <w:rPr>
                <w:rFonts w:ascii="Arial" w:hAnsi="Arial" w:cs="Arial"/>
                <w:sz w:val="20"/>
                <w:szCs w:val="20"/>
                <w:lang w:val="en-CA"/>
              </w:rPr>
            </w:pPr>
            <w:r w:rsidRPr="00A563B6">
              <w:rPr>
                <w:rFonts w:ascii="Arial" w:hAnsi="Arial" w:cs="Arial"/>
                <w:sz w:val="20"/>
                <w:szCs w:val="20"/>
                <w:lang w:val="en-CA"/>
              </w:rPr>
              <w:t>$3,552.60</w:t>
            </w:r>
          </w:p>
        </w:tc>
        <w:tc>
          <w:tcPr>
            <w:tcW w:w="1350" w:type="dxa"/>
            <w:shd w:val="clear" w:color="auto" w:fill="auto"/>
          </w:tcPr>
          <w:p w:rsidR="00B36E1D" w:rsidRPr="00A563B6" w:rsidRDefault="00B36E1D" w:rsidP="00796BF7">
            <w:pPr>
              <w:jc w:val="right"/>
              <w:rPr>
                <w:rFonts w:ascii="Arial" w:hAnsi="Arial" w:cs="Arial"/>
                <w:sz w:val="20"/>
                <w:szCs w:val="20"/>
                <w:lang w:val="en-CA"/>
              </w:rPr>
            </w:pPr>
            <w:r w:rsidRPr="00A563B6">
              <w:rPr>
                <w:rFonts w:ascii="Arial" w:hAnsi="Arial" w:cs="Arial"/>
                <w:sz w:val="20"/>
                <w:szCs w:val="20"/>
                <w:lang w:val="en-CA"/>
              </w:rPr>
              <w:t>$7,443.00</w:t>
            </w:r>
          </w:p>
        </w:tc>
      </w:tr>
      <w:tr w:rsidR="00B36E1D" w:rsidRPr="00A563B6" w:rsidTr="00796BF7">
        <w:tc>
          <w:tcPr>
            <w:tcW w:w="5418" w:type="dxa"/>
            <w:shd w:val="clear" w:color="auto" w:fill="auto"/>
          </w:tcPr>
          <w:p w:rsidR="00B36E1D" w:rsidRPr="00A563B6" w:rsidRDefault="00B36E1D" w:rsidP="00796BF7">
            <w:pPr>
              <w:rPr>
                <w:rFonts w:ascii="Arial" w:hAnsi="Arial" w:cs="Arial"/>
                <w:sz w:val="20"/>
                <w:szCs w:val="20"/>
                <w:lang w:val="en-CA"/>
              </w:rPr>
            </w:pPr>
            <w:r w:rsidRPr="00A563B6">
              <w:rPr>
                <w:rFonts w:ascii="Arial" w:hAnsi="Arial" w:cs="Arial"/>
                <w:sz w:val="20"/>
                <w:szCs w:val="20"/>
                <w:lang w:val="en-CA"/>
              </w:rPr>
              <w:t>Social Science &amp; Medicine</w:t>
            </w:r>
          </w:p>
        </w:tc>
        <w:tc>
          <w:tcPr>
            <w:tcW w:w="1800" w:type="dxa"/>
            <w:shd w:val="clear" w:color="auto" w:fill="auto"/>
          </w:tcPr>
          <w:p w:rsidR="00B36E1D" w:rsidRPr="00A563B6" w:rsidRDefault="00B36E1D" w:rsidP="00796BF7">
            <w:pPr>
              <w:jc w:val="right"/>
              <w:rPr>
                <w:rFonts w:ascii="Arial" w:hAnsi="Arial" w:cs="Arial"/>
                <w:sz w:val="20"/>
                <w:szCs w:val="20"/>
                <w:lang w:val="en-CA"/>
              </w:rPr>
            </w:pPr>
            <w:r w:rsidRPr="00A563B6">
              <w:rPr>
                <w:rFonts w:ascii="Arial" w:hAnsi="Arial" w:cs="Arial"/>
                <w:sz w:val="20"/>
                <w:szCs w:val="20"/>
                <w:lang w:val="en-CA"/>
              </w:rPr>
              <w:t>$3,919.00</w:t>
            </w:r>
          </w:p>
        </w:tc>
        <w:tc>
          <w:tcPr>
            <w:tcW w:w="1350" w:type="dxa"/>
            <w:shd w:val="clear" w:color="auto" w:fill="auto"/>
          </w:tcPr>
          <w:p w:rsidR="00B36E1D" w:rsidRPr="00A563B6" w:rsidRDefault="00B36E1D" w:rsidP="00796BF7">
            <w:pPr>
              <w:jc w:val="right"/>
              <w:rPr>
                <w:rFonts w:ascii="Arial" w:hAnsi="Arial" w:cs="Arial"/>
                <w:sz w:val="20"/>
                <w:szCs w:val="20"/>
                <w:lang w:val="en-CA"/>
              </w:rPr>
            </w:pPr>
            <w:r w:rsidRPr="00A563B6">
              <w:rPr>
                <w:rFonts w:ascii="Arial" w:hAnsi="Arial" w:cs="Arial"/>
                <w:sz w:val="20"/>
                <w:szCs w:val="20"/>
                <w:lang w:val="en-CA"/>
              </w:rPr>
              <w:t>$5,854.00</w:t>
            </w:r>
          </w:p>
        </w:tc>
      </w:tr>
      <w:tr w:rsidR="00B36E1D" w:rsidRPr="00A563B6" w:rsidTr="00796BF7">
        <w:tc>
          <w:tcPr>
            <w:tcW w:w="5418" w:type="dxa"/>
            <w:shd w:val="clear" w:color="auto" w:fill="auto"/>
          </w:tcPr>
          <w:p w:rsidR="00B36E1D" w:rsidRPr="00A563B6" w:rsidRDefault="00B36E1D" w:rsidP="00796BF7">
            <w:pPr>
              <w:rPr>
                <w:rFonts w:ascii="Arial" w:hAnsi="Arial" w:cs="Arial"/>
                <w:sz w:val="20"/>
                <w:szCs w:val="20"/>
                <w:lang w:val="en-CA"/>
              </w:rPr>
            </w:pPr>
            <w:r w:rsidRPr="00A563B6">
              <w:rPr>
                <w:rFonts w:ascii="Arial" w:hAnsi="Arial" w:cs="Arial"/>
                <w:sz w:val="20"/>
                <w:szCs w:val="20"/>
                <w:lang w:val="en-CA"/>
              </w:rPr>
              <w:t>Neuron</w:t>
            </w:r>
          </w:p>
        </w:tc>
        <w:tc>
          <w:tcPr>
            <w:tcW w:w="1800" w:type="dxa"/>
            <w:shd w:val="clear" w:color="auto" w:fill="auto"/>
          </w:tcPr>
          <w:p w:rsidR="00B36E1D" w:rsidRPr="00A563B6" w:rsidRDefault="00B36E1D" w:rsidP="00796BF7">
            <w:pPr>
              <w:jc w:val="right"/>
              <w:rPr>
                <w:rFonts w:ascii="Arial" w:hAnsi="Arial" w:cs="Arial"/>
                <w:sz w:val="20"/>
                <w:szCs w:val="20"/>
                <w:lang w:val="en-CA"/>
              </w:rPr>
            </w:pPr>
            <w:r w:rsidRPr="00A563B6">
              <w:rPr>
                <w:rFonts w:ascii="Arial" w:hAnsi="Arial" w:cs="Arial"/>
                <w:sz w:val="20"/>
                <w:szCs w:val="20"/>
                <w:lang w:val="en-CA"/>
              </w:rPr>
              <w:t>$881.00</w:t>
            </w:r>
          </w:p>
        </w:tc>
        <w:tc>
          <w:tcPr>
            <w:tcW w:w="1350" w:type="dxa"/>
            <w:shd w:val="clear" w:color="auto" w:fill="auto"/>
          </w:tcPr>
          <w:p w:rsidR="00B36E1D" w:rsidRPr="00A563B6" w:rsidRDefault="00B36E1D" w:rsidP="00796BF7">
            <w:pPr>
              <w:jc w:val="right"/>
              <w:rPr>
                <w:rFonts w:ascii="Arial" w:hAnsi="Arial" w:cs="Arial"/>
                <w:sz w:val="20"/>
                <w:szCs w:val="20"/>
                <w:lang w:val="en-CA"/>
              </w:rPr>
            </w:pPr>
            <w:r w:rsidRPr="00A563B6">
              <w:rPr>
                <w:rFonts w:ascii="Arial" w:hAnsi="Arial" w:cs="Arial"/>
                <w:sz w:val="20"/>
                <w:szCs w:val="20"/>
                <w:lang w:val="en-CA"/>
              </w:rPr>
              <w:t>$1,414.00</w:t>
            </w:r>
          </w:p>
        </w:tc>
      </w:tr>
      <w:tr w:rsidR="00B36E1D" w:rsidRPr="00A563B6" w:rsidTr="00796BF7">
        <w:tc>
          <w:tcPr>
            <w:tcW w:w="5418" w:type="dxa"/>
            <w:shd w:val="clear" w:color="auto" w:fill="auto"/>
          </w:tcPr>
          <w:p w:rsidR="00B36E1D" w:rsidRPr="00A563B6" w:rsidRDefault="00B36E1D" w:rsidP="00796BF7">
            <w:pPr>
              <w:rPr>
                <w:rFonts w:ascii="Arial" w:hAnsi="Arial" w:cs="Arial"/>
                <w:sz w:val="20"/>
                <w:szCs w:val="20"/>
                <w:lang w:val="en-CA"/>
              </w:rPr>
            </w:pPr>
            <w:r w:rsidRPr="00A563B6">
              <w:rPr>
                <w:rFonts w:ascii="Arial" w:hAnsi="Arial" w:cs="Arial"/>
                <w:sz w:val="20"/>
                <w:szCs w:val="20"/>
                <w:lang w:val="en-CA"/>
              </w:rPr>
              <w:t>Journal of Biological Chemistry</w:t>
            </w:r>
          </w:p>
        </w:tc>
        <w:tc>
          <w:tcPr>
            <w:tcW w:w="1800" w:type="dxa"/>
            <w:shd w:val="clear" w:color="auto" w:fill="auto"/>
          </w:tcPr>
          <w:p w:rsidR="00B36E1D" w:rsidRPr="00A563B6" w:rsidRDefault="00B36E1D" w:rsidP="00796BF7">
            <w:pPr>
              <w:jc w:val="right"/>
              <w:rPr>
                <w:rFonts w:ascii="Arial" w:hAnsi="Arial" w:cs="Arial"/>
                <w:sz w:val="20"/>
                <w:szCs w:val="20"/>
                <w:lang w:val="en-CA"/>
              </w:rPr>
            </w:pPr>
            <w:r w:rsidRPr="00A563B6">
              <w:rPr>
                <w:rFonts w:ascii="Arial" w:hAnsi="Arial" w:cs="Arial"/>
                <w:sz w:val="20"/>
                <w:szCs w:val="20"/>
                <w:lang w:val="en-CA"/>
              </w:rPr>
              <w:t>$2,060.00</w:t>
            </w:r>
          </w:p>
        </w:tc>
        <w:tc>
          <w:tcPr>
            <w:tcW w:w="1350" w:type="dxa"/>
            <w:shd w:val="clear" w:color="auto" w:fill="auto"/>
          </w:tcPr>
          <w:p w:rsidR="00B36E1D" w:rsidRPr="00A563B6" w:rsidRDefault="00B36E1D" w:rsidP="00796BF7">
            <w:pPr>
              <w:jc w:val="right"/>
              <w:rPr>
                <w:rFonts w:ascii="Arial" w:hAnsi="Arial" w:cs="Arial"/>
                <w:sz w:val="20"/>
                <w:szCs w:val="20"/>
                <w:lang w:val="en-CA"/>
              </w:rPr>
            </w:pPr>
            <w:r w:rsidRPr="00A563B6">
              <w:rPr>
                <w:rFonts w:ascii="Arial" w:hAnsi="Arial" w:cs="Arial"/>
                <w:sz w:val="20"/>
                <w:szCs w:val="20"/>
                <w:lang w:val="en-CA"/>
              </w:rPr>
              <w:t>$3,284.00</w:t>
            </w:r>
          </w:p>
        </w:tc>
      </w:tr>
      <w:tr w:rsidR="00B36E1D" w:rsidRPr="00A563B6" w:rsidTr="00796BF7">
        <w:tc>
          <w:tcPr>
            <w:tcW w:w="5418" w:type="dxa"/>
            <w:shd w:val="clear" w:color="auto" w:fill="auto"/>
          </w:tcPr>
          <w:p w:rsidR="00B36E1D" w:rsidRPr="00A563B6" w:rsidRDefault="00B36E1D" w:rsidP="00796BF7">
            <w:pPr>
              <w:rPr>
                <w:rFonts w:ascii="Arial" w:hAnsi="Arial" w:cs="Arial"/>
                <w:sz w:val="20"/>
                <w:szCs w:val="20"/>
                <w:lang w:val="en-CA"/>
              </w:rPr>
            </w:pPr>
            <w:r w:rsidRPr="00A563B6">
              <w:rPr>
                <w:rFonts w:ascii="Arial" w:hAnsi="Arial" w:cs="Arial"/>
                <w:sz w:val="20"/>
                <w:szCs w:val="20"/>
                <w:lang w:val="en-CA"/>
              </w:rPr>
              <w:t>Nature</w:t>
            </w:r>
          </w:p>
        </w:tc>
        <w:tc>
          <w:tcPr>
            <w:tcW w:w="1800" w:type="dxa"/>
            <w:shd w:val="clear" w:color="auto" w:fill="auto"/>
          </w:tcPr>
          <w:p w:rsidR="00B36E1D" w:rsidRPr="00A563B6" w:rsidRDefault="00B36E1D" w:rsidP="00796BF7">
            <w:pPr>
              <w:jc w:val="right"/>
              <w:rPr>
                <w:rFonts w:ascii="Arial" w:hAnsi="Arial" w:cs="Arial"/>
                <w:sz w:val="20"/>
                <w:szCs w:val="20"/>
                <w:lang w:val="en-CA"/>
              </w:rPr>
            </w:pPr>
            <w:r w:rsidRPr="00A563B6">
              <w:rPr>
                <w:rFonts w:ascii="Arial" w:hAnsi="Arial" w:cs="Arial"/>
                <w:sz w:val="20"/>
                <w:szCs w:val="20"/>
                <w:lang w:val="en-CA"/>
              </w:rPr>
              <w:t>$4,110.00</w:t>
            </w:r>
          </w:p>
        </w:tc>
        <w:tc>
          <w:tcPr>
            <w:tcW w:w="1350" w:type="dxa"/>
            <w:shd w:val="clear" w:color="auto" w:fill="auto"/>
          </w:tcPr>
          <w:p w:rsidR="00B36E1D" w:rsidRPr="00A563B6" w:rsidRDefault="00B36E1D" w:rsidP="00796BF7">
            <w:pPr>
              <w:jc w:val="right"/>
              <w:rPr>
                <w:rFonts w:ascii="Arial" w:hAnsi="Arial" w:cs="Arial"/>
                <w:sz w:val="20"/>
                <w:szCs w:val="20"/>
                <w:lang w:val="en-CA"/>
              </w:rPr>
            </w:pPr>
            <w:r w:rsidRPr="00A563B6">
              <w:rPr>
                <w:rFonts w:ascii="Arial" w:hAnsi="Arial" w:cs="Arial"/>
                <w:sz w:val="20"/>
                <w:szCs w:val="20"/>
                <w:lang w:val="en-CA"/>
              </w:rPr>
              <w:t>$5,580.00</w:t>
            </w:r>
          </w:p>
        </w:tc>
      </w:tr>
      <w:tr w:rsidR="00B36E1D" w:rsidRPr="00A563B6" w:rsidTr="00796BF7">
        <w:tc>
          <w:tcPr>
            <w:tcW w:w="5418" w:type="dxa"/>
            <w:shd w:val="clear" w:color="auto" w:fill="auto"/>
          </w:tcPr>
          <w:p w:rsidR="00B36E1D" w:rsidRPr="00A563B6" w:rsidRDefault="00B36E1D" w:rsidP="00796BF7">
            <w:pPr>
              <w:rPr>
                <w:rFonts w:ascii="Arial" w:hAnsi="Arial" w:cs="Arial"/>
                <w:sz w:val="20"/>
                <w:szCs w:val="20"/>
                <w:lang w:val="en-CA"/>
              </w:rPr>
            </w:pPr>
            <w:r w:rsidRPr="00A563B6">
              <w:rPr>
                <w:rFonts w:ascii="Arial" w:hAnsi="Arial" w:cs="Arial"/>
                <w:sz w:val="20"/>
                <w:szCs w:val="20"/>
                <w:lang w:val="en-CA"/>
              </w:rPr>
              <w:t>Science</w:t>
            </w:r>
          </w:p>
        </w:tc>
        <w:tc>
          <w:tcPr>
            <w:tcW w:w="1800" w:type="dxa"/>
            <w:shd w:val="clear" w:color="auto" w:fill="auto"/>
          </w:tcPr>
          <w:p w:rsidR="00B36E1D" w:rsidRPr="00A563B6" w:rsidRDefault="00B36E1D" w:rsidP="00796BF7">
            <w:pPr>
              <w:jc w:val="right"/>
              <w:rPr>
                <w:rFonts w:ascii="Arial" w:hAnsi="Arial" w:cs="Arial"/>
                <w:sz w:val="20"/>
                <w:szCs w:val="20"/>
                <w:lang w:val="en-CA"/>
              </w:rPr>
            </w:pPr>
            <w:r w:rsidRPr="00A563B6">
              <w:rPr>
                <w:rFonts w:ascii="Arial" w:hAnsi="Arial" w:cs="Arial"/>
                <w:sz w:val="20"/>
                <w:szCs w:val="20"/>
                <w:lang w:val="en-CA"/>
              </w:rPr>
              <w:t>$2,405.00</w:t>
            </w:r>
          </w:p>
        </w:tc>
        <w:tc>
          <w:tcPr>
            <w:tcW w:w="1350" w:type="dxa"/>
            <w:shd w:val="clear" w:color="auto" w:fill="auto"/>
          </w:tcPr>
          <w:p w:rsidR="00B36E1D" w:rsidRPr="00A563B6" w:rsidRDefault="00B36E1D" w:rsidP="00796BF7">
            <w:pPr>
              <w:jc w:val="right"/>
              <w:rPr>
                <w:rFonts w:ascii="Arial" w:hAnsi="Arial" w:cs="Arial"/>
                <w:sz w:val="20"/>
                <w:szCs w:val="20"/>
                <w:lang w:val="en-CA"/>
              </w:rPr>
            </w:pPr>
            <w:r w:rsidRPr="00A563B6">
              <w:rPr>
                <w:rFonts w:ascii="Arial" w:hAnsi="Arial" w:cs="Arial"/>
                <w:sz w:val="20"/>
                <w:szCs w:val="20"/>
                <w:lang w:val="en-CA"/>
              </w:rPr>
              <w:t>$16,867.00</w:t>
            </w:r>
          </w:p>
        </w:tc>
      </w:tr>
      <w:tr w:rsidR="00B36E1D" w:rsidRPr="00A563B6" w:rsidTr="00796BF7">
        <w:tc>
          <w:tcPr>
            <w:tcW w:w="5418" w:type="dxa"/>
            <w:shd w:val="clear" w:color="auto" w:fill="auto"/>
          </w:tcPr>
          <w:p w:rsidR="00B36E1D" w:rsidRPr="00A563B6" w:rsidRDefault="00B36E1D" w:rsidP="00796BF7">
            <w:pPr>
              <w:rPr>
                <w:rFonts w:ascii="Arial" w:hAnsi="Arial" w:cs="Arial"/>
                <w:sz w:val="20"/>
                <w:szCs w:val="20"/>
                <w:lang w:val="en-CA"/>
              </w:rPr>
            </w:pPr>
            <w:r w:rsidRPr="00A563B6">
              <w:rPr>
                <w:rFonts w:ascii="Arial" w:hAnsi="Arial" w:cs="Arial"/>
                <w:sz w:val="20"/>
                <w:szCs w:val="20"/>
                <w:lang w:val="en-CA"/>
              </w:rPr>
              <w:t>Canadian Medical Association Journal</w:t>
            </w:r>
          </w:p>
        </w:tc>
        <w:tc>
          <w:tcPr>
            <w:tcW w:w="1800" w:type="dxa"/>
            <w:shd w:val="clear" w:color="auto" w:fill="auto"/>
          </w:tcPr>
          <w:p w:rsidR="00B36E1D" w:rsidRPr="00A563B6" w:rsidRDefault="00B36E1D" w:rsidP="00796BF7">
            <w:pPr>
              <w:jc w:val="right"/>
              <w:rPr>
                <w:rFonts w:ascii="Arial" w:hAnsi="Arial" w:cs="Arial"/>
                <w:sz w:val="20"/>
                <w:szCs w:val="20"/>
                <w:lang w:val="en-CA"/>
              </w:rPr>
            </w:pPr>
            <w:r w:rsidRPr="00A563B6">
              <w:rPr>
                <w:rFonts w:ascii="Arial" w:hAnsi="Arial" w:cs="Arial"/>
                <w:sz w:val="20"/>
                <w:szCs w:val="20"/>
                <w:lang w:val="en-CA"/>
              </w:rPr>
              <w:t>$233.47</w:t>
            </w:r>
          </w:p>
        </w:tc>
        <w:tc>
          <w:tcPr>
            <w:tcW w:w="1350" w:type="dxa"/>
            <w:shd w:val="clear" w:color="auto" w:fill="auto"/>
          </w:tcPr>
          <w:p w:rsidR="00B36E1D" w:rsidRPr="00A563B6" w:rsidRDefault="00B36E1D" w:rsidP="00796BF7">
            <w:pPr>
              <w:jc w:val="right"/>
              <w:rPr>
                <w:rFonts w:ascii="Arial" w:hAnsi="Arial" w:cs="Arial"/>
                <w:sz w:val="20"/>
                <w:szCs w:val="20"/>
                <w:lang w:val="en-CA"/>
              </w:rPr>
            </w:pPr>
            <w:r w:rsidRPr="00A563B6">
              <w:rPr>
                <w:rFonts w:ascii="Arial" w:hAnsi="Arial" w:cs="Arial"/>
                <w:sz w:val="20"/>
                <w:szCs w:val="20"/>
                <w:lang w:val="en-CA"/>
              </w:rPr>
              <w:t>$810.00</w:t>
            </w:r>
          </w:p>
        </w:tc>
      </w:tr>
      <w:tr w:rsidR="00B36E1D" w:rsidRPr="00A563B6" w:rsidTr="00796BF7">
        <w:tc>
          <w:tcPr>
            <w:tcW w:w="5418" w:type="dxa"/>
            <w:shd w:val="clear" w:color="auto" w:fill="auto"/>
          </w:tcPr>
          <w:p w:rsidR="00B36E1D" w:rsidRPr="00A563B6" w:rsidRDefault="00B36E1D" w:rsidP="00796BF7">
            <w:pPr>
              <w:rPr>
                <w:rFonts w:ascii="Arial" w:hAnsi="Arial" w:cs="Arial"/>
                <w:sz w:val="20"/>
                <w:szCs w:val="20"/>
                <w:lang w:val="en-CA"/>
              </w:rPr>
            </w:pPr>
            <w:r w:rsidRPr="00A563B6">
              <w:rPr>
                <w:rFonts w:ascii="Arial" w:hAnsi="Arial" w:cs="Arial"/>
                <w:sz w:val="20"/>
                <w:szCs w:val="20"/>
                <w:lang w:val="en-CA"/>
              </w:rPr>
              <w:t>Physical Review Letters</w:t>
            </w:r>
          </w:p>
        </w:tc>
        <w:tc>
          <w:tcPr>
            <w:tcW w:w="1800" w:type="dxa"/>
            <w:shd w:val="clear" w:color="auto" w:fill="auto"/>
          </w:tcPr>
          <w:p w:rsidR="00B36E1D" w:rsidRPr="00A563B6" w:rsidRDefault="00B36E1D" w:rsidP="00796BF7">
            <w:pPr>
              <w:jc w:val="right"/>
              <w:rPr>
                <w:rFonts w:ascii="Arial" w:hAnsi="Arial" w:cs="Arial"/>
                <w:sz w:val="20"/>
                <w:szCs w:val="20"/>
                <w:lang w:val="en-CA"/>
              </w:rPr>
            </w:pPr>
            <w:r w:rsidRPr="00A563B6">
              <w:rPr>
                <w:rFonts w:ascii="Arial" w:hAnsi="Arial" w:cs="Arial"/>
                <w:sz w:val="20"/>
                <w:szCs w:val="20"/>
                <w:lang w:val="en-CA"/>
              </w:rPr>
              <w:t>$796.00</w:t>
            </w:r>
          </w:p>
        </w:tc>
        <w:tc>
          <w:tcPr>
            <w:tcW w:w="1350" w:type="dxa"/>
            <w:shd w:val="clear" w:color="auto" w:fill="auto"/>
          </w:tcPr>
          <w:p w:rsidR="00B36E1D" w:rsidRPr="00A563B6" w:rsidRDefault="00B36E1D" w:rsidP="00796BF7">
            <w:pPr>
              <w:jc w:val="right"/>
              <w:rPr>
                <w:rFonts w:ascii="Arial" w:hAnsi="Arial" w:cs="Arial"/>
                <w:sz w:val="20"/>
                <w:szCs w:val="20"/>
                <w:lang w:val="en-CA"/>
              </w:rPr>
            </w:pPr>
            <w:r w:rsidRPr="00A563B6">
              <w:rPr>
                <w:rFonts w:ascii="Arial" w:hAnsi="Arial" w:cs="Arial"/>
                <w:sz w:val="20"/>
                <w:szCs w:val="20"/>
                <w:lang w:val="en-CA"/>
              </w:rPr>
              <w:t>$3,987.50</w:t>
            </w:r>
          </w:p>
        </w:tc>
      </w:tr>
      <w:tr w:rsidR="00B36E1D" w:rsidRPr="00D8149E" w:rsidTr="00796BF7">
        <w:tc>
          <w:tcPr>
            <w:tcW w:w="8568" w:type="dxa"/>
            <w:gridSpan w:val="3"/>
            <w:shd w:val="clear" w:color="auto" w:fill="auto"/>
          </w:tcPr>
          <w:p w:rsidR="00B36E1D" w:rsidRPr="00D8149E" w:rsidRDefault="00B36E1D" w:rsidP="00796BF7">
            <w:pPr>
              <w:rPr>
                <w:rFonts w:ascii="Arial" w:hAnsi="Arial" w:cs="Arial"/>
                <w:sz w:val="20"/>
                <w:szCs w:val="20"/>
                <w:lang w:val="en-CA"/>
              </w:rPr>
            </w:pPr>
          </w:p>
          <w:p w:rsidR="00B36E1D" w:rsidRPr="00D8149E" w:rsidRDefault="00B36E1D" w:rsidP="00796BF7">
            <w:pPr>
              <w:rPr>
                <w:sz w:val="20"/>
                <w:szCs w:val="20"/>
              </w:rPr>
            </w:pPr>
            <w:r w:rsidRPr="00D8149E">
              <w:rPr>
                <w:rFonts w:ascii="Arial" w:hAnsi="Arial" w:cs="Arial"/>
                <w:sz w:val="20"/>
                <w:szCs w:val="20"/>
                <w:lang w:val="en-CA"/>
              </w:rPr>
              <w:t>A few more examples:</w:t>
            </w:r>
          </w:p>
          <w:p w:rsidR="00B36E1D" w:rsidRPr="00D8149E" w:rsidRDefault="00B36E1D" w:rsidP="00796BF7">
            <w:pPr>
              <w:rPr>
                <w:sz w:val="20"/>
                <w:szCs w:val="20"/>
              </w:rPr>
            </w:pPr>
            <w:r w:rsidRPr="00D8149E">
              <w:rPr>
                <w:rFonts w:ascii="Arial" w:hAnsi="Arial" w:cs="Arial"/>
                <w:b/>
                <w:sz w:val="20"/>
                <w:szCs w:val="20"/>
              </w:rPr>
              <w:t>Elsevier</w:t>
            </w:r>
            <w:r w:rsidRPr="00D8149E">
              <w:rPr>
                <w:rFonts w:ascii="Arial" w:hAnsi="Arial" w:cs="Arial"/>
                <w:sz w:val="20"/>
                <w:szCs w:val="20"/>
              </w:rPr>
              <w:t xml:space="preserve"> - proposed 4.25% increase for next 4 years; </w:t>
            </w:r>
            <w:r w:rsidRPr="00D8149E">
              <w:rPr>
                <w:rFonts w:ascii="Arial" w:hAnsi="Arial" w:cs="Arial"/>
                <w:sz w:val="20"/>
                <w:szCs w:val="20"/>
              </w:rPr>
              <w:br/>
              <w:t>additional cost from 2011-2014 $1,689,785 to $1,995,884 USD (does not include HST or currency exchange). Approximately an increase of $80,000 a year for this one package.</w:t>
            </w:r>
          </w:p>
          <w:p w:rsidR="00B36E1D" w:rsidRPr="00D8149E" w:rsidRDefault="00B36E1D" w:rsidP="00796BF7">
            <w:pPr>
              <w:rPr>
                <w:sz w:val="20"/>
                <w:szCs w:val="20"/>
              </w:rPr>
            </w:pPr>
            <w:r w:rsidRPr="00D8149E">
              <w:rPr>
                <w:sz w:val="20"/>
                <w:szCs w:val="20"/>
              </w:rPr>
              <w:t> </w:t>
            </w:r>
          </w:p>
          <w:p w:rsidR="00B36E1D" w:rsidRPr="00D8149E" w:rsidRDefault="00B36E1D" w:rsidP="00796BF7">
            <w:pPr>
              <w:rPr>
                <w:sz w:val="20"/>
                <w:szCs w:val="20"/>
              </w:rPr>
            </w:pPr>
            <w:r w:rsidRPr="00D8149E">
              <w:rPr>
                <w:rFonts w:ascii="Arial" w:hAnsi="Arial" w:cs="Arial"/>
                <w:b/>
                <w:sz w:val="20"/>
                <w:szCs w:val="20"/>
              </w:rPr>
              <w:t>Springer Journals</w:t>
            </w:r>
            <w:r w:rsidRPr="00D8149E">
              <w:rPr>
                <w:rFonts w:ascii="Arial" w:hAnsi="Arial" w:cs="Arial"/>
                <w:sz w:val="20"/>
                <w:szCs w:val="20"/>
              </w:rPr>
              <w:t xml:space="preserve"> proposed a 3% increase from 2010 to 2012 </w:t>
            </w:r>
            <w:r w:rsidRPr="00D8149E">
              <w:rPr>
                <w:rFonts w:ascii="Arial" w:hAnsi="Arial" w:cs="Arial"/>
                <w:sz w:val="20"/>
                <w:szCs w:val="20"/>
              </w:rPr>
              <w:br/>
              <w:t>Additional cost $45,228</w:t>
            </w:r>
          </w:p>
          <w:p w:rsidR="00B36E1D" w:rsidRPr="00D8149E" w:rsidRDefault="00B36E1D" w:rsidP="00796BF7">
            <w:pPr>
              <w:rPr>
                <w:sz w:val="20"/>
                <w:szCs w:val="20"/>
              </w:rPr>
            </w:pPr>
            <w:r w:rsidRPr="00D8149E">
              <w:rPr>
                <w:sz w:val="20"/>
                <w:szCs w:val="20"/>
              </w:rPr>
              <w:t> </w:t>
            </w:r>
          </w:p>
          <w:p w:rsidR="00B36E1D" w:rsidRPr="00D8149E" w:rsidRDefault="00B36E1D" w:rsidP="00796BF7">
            <w:pPr>
              <w:rPr>
                <w:sz w:val="20"/>
                <w:szCs w:val="20"/>
              </w:rPr>
            </w:pPr>
            <w:r w:rsidRPr="00D8149E">
              <w:rPr>
                <w:rFonts w:ascii="Arial" w:hAnsi="Arial" w:cs="Arial"/>
                <w:b/>
                <w:bCs/>
                <w:sz w:val="20"/>
                <w:szCs w:val="20"/>
              </w:rPr>
              <w:t>Journal of the American Medical Association (JAMA)</w:t>
            </w:r>
            <w:r w:rsidRPr="00D8149E">
              <w:rPr>
                <w:rFonts w:ascii="Arial" w:hAnsi="Arial" w:cs="Arial"/>
                <w:sz w:val="20"/>
                <w:szCs w:val="20"/>
              </w:rPr>
              <w:br/>
              <w:t xml:space="preserve">2009/2010 cost - $11,795 | 2011 cost - $17,500 </w:t>
            </w:r>
          </w:p>
          <w:p w:rsidR="00B36E1D" w:rsidRPr="00D8149E" w:rsidRDefault="00B36E1D" w:rsidP="00796BF7">
            <w:pPr>
              <w:rPr>
                <w:sz w:val="20"/>
                <w:szCs w:val="20"/>
              </w:rPr>
            </w:pPr>
            <w:r w:rsidRPr="00D8149E">
              <w:rPr>
                <w:sz w:val="20"/>
                <w:szCs w:val="20"/>
              </w:rPr>
              <w:t> </w:t>
            </w:r>
          </w:p>
          <w:p w:rsidR="00B36E1D" w:rsidRPr="00D8149E" w:rsidRDefault="00B36E1D" w:rsidP="00796BF7">
            <w:pPr>
              <w:outlineLvl w:val="0"/>
              <w:rPr>
                <w:rFonts w:ascii="Arial" w:hAnsi="Arial" w:cs="Arial"/>
                <w:b/>
                <w:sz w:val="20"/>
                <w:szCs w:val="20"/>
                <w:lang w:val="en-CA"/>
              </w:rPr>
            </w:pPr>
            <w:r w:rsidRPr="00D8149E">
              <w:rPr>
                <w:rFonts w:ascii="Arial" w:hAnsi="Arial" w:cs="Arial"/>
                <w:b/>
                <w:sz w:val="20"/>
                <w:szCs w:val="20"/>
                <w:lang w:val="en-CA"/>
              </w:rPr>
              <w:t>Total UBC Library e-resource costs:</w:t>
            </w:r>
          </w:p>
          <w:p w:rsidR="00B36E1D" w:rsidRPr="00D8149E" w:rsidRDefault="00B36E1D" w:rsidP="00B36E1D">
            <w:pPr>
              <w:numPr>
                <w:ilvl w:val="0"/>
                <w:numId w:val="3"/>
              </w:numPr>
              <w:rPr>
                <w:rFonts w:ascii="Arial" w:hAnsi="Arial" w:cs="Arial"/>
                <w:sz w:val="20"/>
                <w:szCs w:val="20"/>
                <w:lang w:val="en-CA"/>
              </w:rPr>
            </w:pPr>
            <w:r w:rsidRPr="00D8149E">
              <w:rPr>
                <w:rFonts w:ascii="Arial" w:hAnsi="Arial" w:cs="Arial"/>
                <w:sz w:val="20"/>
                <w:szCs w:val="20"/>
                <w:lang w:val="en-CA"/>
              </w:rPr>
              <w:t>2004 - $6,395,363.00</w:t>
            </w:r>
            <w:r w:rsidRPr="00D8149E">
              <w:rPr>
                <w:rFonts w:ascii="Arial" w:hAnsi="Arial" w:cs="Arial"/>
                <w:sz w:val="20"/>
                <w:szCs w:val="20"/>
                <w:lang w:val="en-CA"/>
              </w:rPr>
              <w:tab/>
              <w:t>|   2011 - $8,740,621.00</w:t>
            </w:r>
          </w:p>
          <w:p w:rsidR="00B36E1D" w:rsidRPr="00D8149E" w:rsidRDefault="00B36E1D" w:rsidP="00B36E1D">
            <w:pPr>
              <w:numPr>
                <w:ilvl w:val="0"/>
                <w:numId w:val="3"/>
              </w:numPr>
              <w:rPr>
                <w:rFonts w:ascii="Arial" w:hAnsi="Arial" w:cs="Arial"/>
                <w:sz w:val="20"/>
                <w:szCs w:val="20"/>
                <w:lang w:val="en-CA"/>
              </w:rPr>
            </w:pPr>
            <w:r w:rsidRPr="00D8149E">
              <w:rPr>
                <w:rFonts w:ascii="Arial" w:hAnsi="Arial" w:cs="Arial"/>
                <w:sz w:val="20"/>
                <w:szCs w:val="20"/>
                <w:lang w:val="en-CA"/>
              </w:rPr>
              <w:t>An increase of 36.67%</w:t>
            </w:r>
          </w:p>
          <w:p w:rsidR="00B36E1D" w:rsidRPr="00D8149E" w:rsidRDefault="00B36E1D" w:rsidP="00796BF7">
            <w:pPr>
              <w:rPr>
                <w:rFonts w:ascii="Arial" w:hAnsi="Arial" w:cs="Arial"/>
                <w:sz w:val="20"/>
                <w:szCs w:val="20"/>
              </w:rPr>
            </w:pPr>
            <w:r w:rsidRPr="00D8149E">
              <w:rPr>
                <w:rFonts w:ascii="Arial" w:hAnsi="Arial" w:cs="Arial"/>
                <w:b/>
                <w:sz w:val="20"/>
                <w:szCs w:val="20"/>
              </w:rPr>
              <w:lastRenderedPageBreak/>
              <w:t>Examples of some of the Library’s investment in Sciences Digital Transformation for the past 3 years</w:t>
            </w:r>
            <w:r w:rsidRPr="00D8149E">
              <w:rPr>
                <w:rFonts w:ascii="Arial" w:hAnsi="Arial" w:cs="Arial"/>
                <w:sz w:val="20"/>
                <w:szCs w:val="20"/>
              </w:rPr>
              <w:t xml:space="preserve">. </w:t>
            </w:r>
            <w:r w:rsidRPr="00D8149E">
              <w:rPr>
                <w:rFonts w:ascii="Arial" w:hAnsi="Arial" w:cs="Arial"/>
                <w:sz w:val="20"/>
                <w:szCs w:val="20"/>
              </w:rPr>
              <w:br/>
              <w:t>Converting analog print and microfilm to digital. (costs are in additional to annual costs for maintenance)</w:t>
            </w:r>
          </w:p>
          <w:p w:rsidR="00B36E1D" w:rsidRPr="00D8149E" w:rsidRDefault="00B36E1D" w:rsidP="00796BF7">
            <w:pPr>
              <w:ind w:left="360"/>
              <w:rPr>
                <w:rFonts w:ascii="Arial" w:hAnsi="Arial" w:cs="Arial"/>
                <w:b/>
                <w:sz w:val="20"/>
                <w:szCs w:val="20"/>
              </w:rPr>
            </w:pPr>
          </w:p>
          <w:p w:rsidR="00B36E1D" w:rsidRPr="00D8149E" w:rsidRDefault="00B36E1D" w:rsidP="00B36E1D">
            <w:pPr>
              <w:numPr>
                <w:ilvl w:val="0"/>
                <w:numId w:val="4"/>
              </w:numPr>
              <w:ind w:left="360"/>
              <w:rPr>
                <w:rFonts w:ascii="Arial" w:hAnsi="Arial" w:cs="Arial"/>
                <w:b/>
                <w:sz w:val="20"/>
                <w:szCs w:val="20"/>
              </w:rPr>
            </w:pPr>
            <w:r w:rsidRPr="00D8149E">
              <w:rPr>
                <w:rFonts w:ascii="Arial" w:hAnsi="Arial" w:cs="Arial"/>
                <w:i/>
                <w:sz w:val="20"/>
                <w:szCs w:val="20"/>
              </w:rPr>
              <w:t>Journal of Fluid</w:t>
            </w:r>
            <w:r w:rsidRPr="00D8149E">
              <w:rPr>
                <w:rFonts w:ascii="Arial" w:hAnsi="Arial" w:cs="Arial"/>
                <w:sz w:val="20"/>
                <w:szCs w:val="20"/>
              </w:rPr>
              <w:t xml:space="preserve"> mechanics </w:t>
            </w:r>
            <w:proofErr w:type="spellStart"/>
            <w:r w:rsidRPr="00D8149E">
              <w:rPr>
                <w:rFonts w:ascii="Arial" w:hAnsi="Arial" w:cs="Arial"/>
                <w:sz w:val="20"/>
                <w:szCs w:val="20"/>
              </w:rPr>
              <w:t>backfiles</w:t>
            </w:r>
            <w:proofErr w:type="spellEnd"/>
            <w:r w:rsidRPr="00D8149E">
              <w:rPr>
                <w:rFonts w:ascii="Arial" w:hAnsi="Arial" w:cs="Arial"/>
                <w:b/>
                <w:sz w:val="20"/>
                <w:szCs w:val="20"/>
              </w:rPr>
              <w:t xml:space="preserve"> $16,000</w:t>
            </w:r>
          </w:p>
          <w:p w:rsidR="00B36E1D" w:rsidRPr="00D8149E" w:rsidRDefault="00B36E1D" w:rsidP="00B36E1D">
            <w:pPr>
              <w:numPr>
                <w:ilvl w:val="0"/>
                <w:numId w:val="4"/>
              </w:numPr>
              <w:ind w:left="360"/>
              <w:rPr>
                <w:rFonts w:ascii="Arial" w:hAnsi="Arial" w:cs="Arial"/>
                <w:b/>
                <w:sz w:val="20"/>
                <w:szCs w:val="20"/>
              </w:rPr>
            </w:pPr>
            <w:r w:rsidRPr="00D8149E">
              <w:rPr>
                <w:rFonts w:ascii="Arial" w:hAnsi="Arial" w:cs="Arial"/>
                <w:i/>
                <w:sz w:val="20"/>
                <w:szCs w:val="20"/>
              </w:rPr>
              <w:t>Science Journal</w:t>
            </w:r>
            <w:r w:rsidRPr="00D8149E">
              <w:rPr>
                <w:rFonts w:ascii="Arial" w:hAnsi="Arial" w:cs="Arial"/>
                <w:sz w:val="20"/>
                <w:szCs w:val="20"/>
              </w:rPr>
              <w:t xml:space="preserve"> </w:t>
            </w:r>
            <w:proofErr w:type="spellStart"/>
            <w:r w:rsidRPr="00D8149E">
              <w:rPr>
                <w:rFonts w:ascii="Arial" w:hAnsi="Arial" w:cs="Arial"/>
                <w:sz w:val="20"/>
                <w:szCs w:val="20"/>
              </w:rPr>
              <w:t>backfiles</w:t>
            </w:r>
            <w:proofErr w:type="spellEnd"/>
            <w:r w:rsidRPr="00D8149E">
              <w:rPr>
                <w:rFonts w:ascii="Arial" w:hAnsi="Arial" w:cs="Arial"/>
                <w:sz w:val="20"/>
                <w:szCs w:val="20"/>
              </w:rPr>
              <w:t xml:space="preserve"> </w:t>
            </w:r>
            <w:r w:rsidRPr="00D8149E">
              <w:rPr>
                <w:rFonts w:ascii="Arial" w:hAnsi="Arial" w:cs="Arial"/>
                <w:b/>
                <w:sz w:val="20"/>
                <w:szCs w:val="20"/>
              </w:rPr>
              <w:t>$925,000</w:t>
            </w:r>
          </w:p>
          <w:p w:rsidR="00B36E1D" w:rsidRPr="00D8149E" w:rsidRDefault="00B36E1D" w:rsidP="00796BF7">
            <w:pPr>
              <w:ind w:left="360"/>
              <w:rPr>
                <w:rFonts w:ascii="Arial" w:hAnsi="Arial" w:cs="Arial"/>
                <w:b/>
                <w:sz w:val="20"/>
                <w:szCs w:val="20"/>
              </w:rPr>
            </w:pPr>
          </w:p>
        </w:tc>
      </w:tr>
    </w:tbl>
    <w:p w:rsidR="00B36E1D" w:rsidRPr="00095C39" w:rsidRDefault="00B36E1D" w:rsidP="00B36E1D">
      <w:pPr>
        <w:pStyle w:val="NormalWeb"/>
        <w:spacing w:before="0" w:beforeAutospacing="0" w:after="0" w:afterAutospacing="0"/>
        <w:rPr>
          <w:rFonts w:ascii="Arial" w:hAnsi="Arial" w:cs="Arial"/>
          <w:sz w:val="16"/>
          <w:szCs w:val="16"/>
          <w:lang w:val="en-CA"/>
        </w:rPr>
      </w:pPr>
    </w:p>
    <w:p w:rsidR="00B36E1D" w:rsidRPr="00D8149E" w:rsidRDefault="00B36E1D" w:rsidP="00B36E1D">
      <w:pPr>
        <w:pStyle w:val="NormalWeb"/>
        <w:spacing w:before="0" w:beforeAutospacing="0" w:after="0" w:afterAutospacing="0"/>
        <w:rPr>
          <w:rFonts w:ascii="Arial" w:hAnsi="Arial" w:cs="Arial"/>
          <w:sz w:val="20"/>
          <w:szCs w:val="20"/>
        </w:rPr>
      </w:pPr>
      <w:r w:rsidRPr="00D8149E">
        <w:rPr>
          <w:rStyle w:val="Strong"/>
          <w:rFonts w:ascii="Arial" w:hAnsi="Arial" w:cs="Arial"/>
          <w:sz w:val="20"/>
          <w:szCs w:val="20"/>
        </w:rPr>
        <w:t>Can the Library use endowments to purchase more materials?</w:t>
      </w:r>
    </w:p>
    <w:p w:rsidR="00B36E1D" w:rsidRPr="00D8149E" w:rsidRDefault="00B36E1D" w:rsidP="00B36E1D">
      <w:pPr>
        <w:pStyle w:val="NormalWeb"/>
        <w:spacing w:before="0" w:beforeAutospacing="0" w:after="0" w:afterAutospacing="0"/>
        <w:rPr>
          <w:rFonts w:ascii="Arial" w:hAnsi="Arial" w:cs="Arial"/>
          <w:sz w:val="20"/>
          <w:szCs w:val="20"/>
        </w:rPr>
      </w:pPr>
      <w:r w:rsidRPr="00D8149E">
        <w:rPr>
          <w:rFonts w:ascii="Arial" w:hAnsi="Arial" w:cs="Arial"/>
          <w:sz w:val="20"/>
          <w:szCs w:val="20"/>
        </w:rPr>
        <w:t>96% of the library’s collection expenditure is from the operating budget. Endowments count for only a small percentage of the budget. The economic downturn in 2008 has hurt the annual return on the endowment income.</w:t>
      </w:r>
    </w:p>
    <w:p w:rsidR="00B36E1D" w:rsidRPr="00D8149E" w:rsidRDefault="00B36E1D" w:rsidP="00B36E1D">
      <w:pPr>
        <w:pStyle w:val="NormalWeb"/>
        <w:spacing w:before="0" w:beforeAutospacing="0" w:after="0" w:afterAutospacing="0"/>
        <w:rPr>
          <w:rFonts w:ascii="Arial" w:hAnsi="Arial" w:cs="Arial"/>
          <w:sz w:val="20"/>
          <w:szCs w:val="20"/>
        </w:rPr>
      </w:pPr>
    </w:p>
    <w:p w:rsidR="00B36E1D" w:rsidRPr="00D8149E" w:rsidRDefault="00B36E1D" w:rsidP="00B36E1D">
      <w:pPr>
        <w:pStyle w:val="NormalWeb"/>
        <w:spacing w:before="0" w:beforeAutospacing="0" w:after="0" w:afterAutospacing="0"/>
        <w:rPr>
          <w:rFonts w:ascii="Arial" w:hAnsi="Arial" w:cs="Arial"/>
          <w:sz w:val="20"/>
          <w:szCs w:val="20"/>
        </w:rPr>
      </w:pPr>
      <w:r w:rsidRPr="00D8149E">
        <w:rPr>
          <w:rStyle w:val="Strong"/>
          <w:rFonts w:ascii="Arial" w:hAnsi="Arial" w:cs="Arial"/>
          <w:sz w:val="20"/>
          <w:szCs w:val="20"/>
        </w:rPr>
        <w:t>How is the library reducing collection expenses?</w:t>
      </w:r>
    </w:p>
    <w:p w:rsidR="00B36E1D" w:rsidRPr="00D8149E" w:rsidRDefault="00B36E1D" w:rsidP="00B36E1D">
      <w:pPr>
        <w:pStyle w:val="NormalWeb"/>
        <w:spacing w:before="0" w:beforeAutospacing="0" w:after="0" w:afterAutospacing="0"/>
        <w:rPr>
          <w:rFonts w:ascii="Arial" w:hAnsi="Arial" w:cs="Arial"/>
          <w:sz w:val="20"/>
          <w:szCs w:val="20"/>
        </w:rPr>
      </w:pPr>
      <w:r w:rsidRPr="00D8149E">
        <w:rPr>
          <w:rFonts w:ascii="Arial" w:hAnsi="Arial" w:cs="Arial"/>
          <w:sz w:val="20"/>
          <w:szCs w:val="20"/>
        </w:rPr>
        <w:t xml:space="preserve">Due to this reduced buying power, the Library’s collection strategy has to be </w:t>
      </w:r>
      <w:proofErr w:type="gramStart"/>
      <w:r w:rsidRPr="00D8149E">
        <w:rPr>
          <w:rFonts w:ascii="Arial" w:hAnsi="Arial" w:cs="Arial"/>
          <w:sz w:val="20"/>
          <w:szCs w:val="20"/>
        </w:rPr>
        <w:t>very</w:t>
      </w:r>
      <w:proofErr w:type="gramEnd"/>
      <w:r w:rsidRPr="00D8149E">
        <w:rPr>
          <w:rFonts w:ascii="Arial" w:hAnsi="Arial" w:cs="Arial"/>
          <w:sz w:val="20"/>
          <w:szCs w:val="20"/>
        </w:rPr>
        <w:t xml:space="preserve"> focused. The library will review all collecting practices. This will mean:</w:t>
      </w:r>
    </w:p>
    <w:p w:rsidR="00B36E1D" w:rsidRPr="00D8149E" w:rsidRDefault="00B36E1D" w:rsidP="00B36E1D">
      <w:pPr>
        <w:numPr>
          <w:ilvl w:val="0"/>
          <w:numId w:val="2"/>
        </w:numPr>
        <w:rPr>
          <w:rFonts w:ascii="Arial" w:hAnsi="Arial" w:cs="Arial"/>
          <w:sz w:val="20"/>
          <w:szCs w:val="20"/>
        </w:rPr>
      </w:pPr>
      <w:r w:rsidRPr="00D8149E">
        <w:rPr>
          <w:rFonts w:ascii="Arial" w:hAnsi="Arial" w:cs="Arial"/>
          <w:sz w:val="20"/>
          <w:szCs w:val="20"/>
        </w:rPr>
        <w:t xml:space="preserve">Avoiding duplication in content </w:t>
      </w:r>
    </w:p>
    <w:p w:rsidR="00B36E1D" w:rsidRPr="00D8149E" w:rsidRDefault="00B36E1D" w:rsidP="00B36E1D">
      <w:pPr>
        <w:numPr>
          <w:ilvl w:val="0"/>
          <w:numId w:val="2"/>
        </w:numPr>
        <w:rPr>
          <w:rFonts w:ascii="Arial" w:hAnsi="Arial" w:cs="Arial"/>
          <w:sz w:val="20"/>
          <w:szCs w:val="20"/>
        </w:rPr>
      </w:pPr>
      <w:r w:rsidRPr="00D8149E">
        <w:rPr>
          <w:rFonts w:ascii="Arial" w:hAnsi="Arial" w:cs="Arial"/>
          <w:sz w:val="20"/>
          <w:szCs w:val="20"/>
        </w:rPr>
        <w:t>Reviewing serials, monographs and database for overlapping and redundant content</w:t>
      </w:r>
    </w:p>
    <w:p w:rsidR="00B36E1D" w:rsidRPr="00D8149E" w:rsidRDefault="00B36E1D" w:rsidP="00B36E1D">
      <w:pPr>
        <w:numPr>
          <w:ilvl w:val="0"/>
          <w:numId w:val="2"/>
        </w:numPr>
        <w:rPr>
          <w:rFonts w:ascii="Arial" w:hAnsi="Arial" w:cs="Arial"/>
          <w:sz w:val="20"/>
          <w:szCs w:val="20"/>
        </w:rPr>
      </w:pPr>
      <w:r w:rsidRPr="00D8149E">
        <w:rPr>
          <w:rFonts w:ascii="Arial" w:hAnsi="Arial" w:cs="Arial"/>
          <w:sz w:val="20"/>
          <w:szCs w:val="20"/>
        </w:rPr>
        <w:t>Reducing the number of serial subscriptions and standing orders each year that no longer support the research, teaching and curriculum</w:t>
      </w:r>
    </w:p>
    <w:p w:rsidR="00B36E1D" w:rsidRPr="00D8149E" w:rsidRDefault="00B36E1D" w:rsidP="00B36E1D">
      <w:pPr>
        <w:numPr>
          <w:ilvl w:val="0"/>
          <w:numId w:val="2"/>
        </w:numPr>
        <w:rPr>
          <w:rFonts w:ascii="Arial" w:hAnsi="Arial" w:cs="Arial"/>
          <w:sz w:val="20"/>
          <w:szCs w:val="20"/>
        </w:rPr>
      </w:pPr>
      <w:r w:rsidRPr="00D8149E">
        <w:rPr>
          <w:rFonts w:ascii="Arial" w:hAnsi="Arial" w:cs="Arial"/>
          <w:sz w:val="20"/>
          <w:szCs w:val="20"/>
        </w:rPr>
        <w:t>Transitioning from print to online and dropping print serial subscriptions when reasonable</w:t>
      </w:r>
    </w:p>
    <w:p w:rsidR="00B36E1D" w:rsidRPr="00D8149E" w:rsidRDefault="00B36E1D" w:rsidP="00B36E1D">
      <w:pPr>
        <w:numPr>
          <w:ilvl w:val="0"/>
          <w:numId w:val="2"/>
        </w:numPr>
        <w:rPr>
          <w:rFonts w:ascii="Arial" w:hAnsi="Arial" w:cs="Arial"/>
          <w:sz w:val="20"/>
          <w:szCs w:val="20"/>
        </w:rPr>
      </w:pPr>
      <w:r w:rsidRPr="00D8149E">
        <w:rPr>
          <w:rFonts w:ascii="Arial" w:hAnsi="Arial" w:cs="Arial"/>
          <w:sz w:val="20"/>
          <w:szCs w:val="20"/>
        </w:rPr>
        <w:t>New contract for the supply of e-books and English language monographs, higher % discounts (18%). Serial contract issued in 2011, lowering bulk purchase subscription costs up to 3%.</w:t>
      </w:r>
    </w:p>
    <w:p w:rsidR="00B36E1D" w:rsidRPr="00D8149E" w:rsidRDefault="00B36E1D" w:rsidP="00B36E1D">
      <w:pPr>
        <w:numPr>
          <w:ilvl w:val="0"/>
          <w:numId w:val="2"/>
        </w:numPr>
        <w:rPr>
          <w:rFonts w:ascii="Arial" w:hAnsi="Arial" w:cs="Arial"/>
          <w:sz w:val="20"/>
          <w:szCs w:val="20"/>
        </w:rPr>
      </w:pPr>
      <w:r w:rsidRPr="00D8149E">
        <w:rPr>
          <w:rFonts w:ascii="Arial" w:hAnsi="Arial" w:cs="Arial"/>
          <w:sz w:val="20"/>
          <w:szCs w:val="20"/>
        </w:rPr>
        <w:t xml:space="preserve">Relying more on </w:t>
      </w:r>
      <w:smartTag w:uri="urn:schemas-microsoft-com:office:smarttags" w:element="State">
        <w:smartTag w:uri="urn:schemas-microsoft-com:office:smarttags" w:element="place">
          <w:r w:rsidRPr="00D8149E">
            <w:rPr>
              <w:rFonts w:ascii="Arial" w:hAnsi="Arial" w:cs="Arial"/>
              <w:sz w:val="20"/>
              <w:szCs w:val="20"/>
            </w:rPr>
            <w:t>ILL</w:t>
          </w:r>
        </w:smartTag>
      </w:smartTag>
      <w:r w:rsidRPr="00D8149E">
        <w:rPr>
          <w:rFonts w:ascii="Arial" w:hAnsi="Arial" w:cs="Arial"/>
          <w:sz w:val="20"/>
          <w:szCs w:val="20"/>
        </w:rPr>
        <w:t>, document deliver, pay per view and patron driven acquisitions</w:t>
      </w:r>
    </w:p>
    <w:p w:rsidR="00B36E1D" w:rsidRPr="00D8149E" w:rsidRDefault="00B36E1D" w:rsidP="00B36E1D">
      <w:pPr>
        <w:pStyle w:val="Heading3"/>
        <w:spacing w:before="0" w:beforeAutospacing="0" w:after="0" w:afterAutospacing="0"/>
        <w:rPr>
          <w:rFonts w:ascii="Arial" w:hAnsi="Arial" w:cs="Arial"/>
          <w:sz w:val="20"/>
          <w:szCs w:val="20"/>
        </w:rPr>
      </w:pPr>
    </w:p>
    <w:p w:rsidR="00B36E1D" w:rsidRPr="00D8149E" w:rsidRDefault="00B36E1D" w:rsidP="00B36E1D">
      <w:pPr>
        <w:pStyle w:val="Heading3"/>
        <w:spacing w:before="0" w:beforeAutospacing="0" w:after="0" w:afterAutospacing="0"/>
        <w:rPr>
          <w:rFonts w:ascii="Arial" w:hAnsi="Arial" w:cs="Arial"/>
          <w:sz w:val="20"/>
          <w:szCs w:val="20"/>
        </w:rPr>
      </w:pPr>
      <w:r w:rsidRPr="00D8149E">
        <w:rPr>
          <w:rFonts w:ascii="Arial" w:hAnsi="Arial" w:cs="Arial"/>
          <w:sz w:val="20"/>
          <w:szCs w:val="20"/>
        </w:rPr>
        <w:t xml:space="preserve">What does this mean for our patrons? </w:t>
      </w:r>
    </w:p>
    <w:p w:rsidR="00B36E1D" w:rsidRPr="00D8149E" w:rsidRDefault="00B36E1D" w:rsidP="00B36E1D">
      <w:pPr>
        <w:pStyle w:val="NormalWeb"/>
        <w:spacing w:before="0" w:beforeAutospacing="0" w:after="0" w:afterAutospacing="0"/>
        <w:rPr>
          <w:rFonts w:ascii="Arial" w:hAnsi="Arial" w:cs="Arial"/>
          <w:sz w:val="20"/>
          <w:szCs w:val="20"/>
        </w:rPr>
      </w:pPr>
      <w:r w:rsidRPr="00D8149E">
        <w:rPr>
          <w:rFonts w:ascii="Arial" w:hAnsi="Arial" w:cs="Arial"/>
          <w:sz w:val="20"/>
          <w:szCs w:val="20"/>
        </w:rPr>
        <w:t>The Library is forced to reduce our purchases and be very careful about our collection development.  We will review all journal subscriptions with the goal of canceling print wherever practical in favor of stable online access, review duplicate print subscriptions with the goal of reducing to a single subscription, review inactive subscriptions to determine whether they should be renewed or canceled, and investigate options to collaborate with academic departments and their reading rooms.</w:t>
      </w:r>
    </w:p>
    <w:p w:rsidR="00B36E1D" w:rsidRPr="00D8149E" w:rsidRDefault="00B36E1D" w:rsidP="00B36E1D">
      <w:pPr>
        <w:pStyle w:val="NormalWeb"/>
        <w:spacing w:before="0" w:beforeAutospacing="0" w:after="0" w:afterAutospacing="0"/>
        <w:rPr>
          <w:rFonts w:ascii="Arial" w:hAnsi="Arial" w:cs="Arial"/>
          <w:sz w:val="20"/>
          <w:szCs w:val="20"/>
        </w:rPr>
      </w:pPr>
    </w:p>
    <w:p w:rsidR="00B36E1D" w:rsidRPr="00D8149E" w:rsidRDefault="00B36E1D" w:rsidP="00B36E1D">
      <w:pPr>
        <w:pStyle w:val="Heading3"/>
        <w:spacing w:before="0" w:beforeAutospacing="0" w:after="0" w:afterAutospacing="0"/>
        <w:rPr>
          <w:rFonts w:ascii="Arial" w:hAnsi="Arial" w:cs="Arial"/>
          <w:sz w:val="20"/>
          <w:szCs w:val="20"/>
        </w:rPr>
      </w:pPr>
      <w:r w:rsidRPr="00D8149E">
        <w:rPr>
          <w:rFonts w:ascii="Arial" w:hAnsi="Arial" w:cs="Arial"/>
          <w:sz w:val="20"/>
          <w:szCs w:val="20"/>
        </w:rPr>
        <w:t>What are the challenges for maintaining a sustainable collections budget?</w:t>
      </w:r>
    </w:p>
    <w:p w:rsidR="00B36E1D" w:rsidRPr="00D8149E" w:rsidRDefault="00B36E1D" w:rsidP="00B36E1D">
      <w:pPr>
        <w:pStyle w:val="NormalWeb"/>
        <w:spacing w:before="0" w:beforeAutospacing="0" w:after="0" w:afterAutospacing="0"/>
        <w:rPr>
          <w:rFonts w:ascii="Arial" w:hAnsi="Arial" w:cs="Arial"/>
          <w:sz w:val="20"/>
          <w:szCs w:val="20"/>
        </w:rPr>
      </w:pPr>
      <w:r w:rsidRPr="00D8149E">
        <w:rPr>
          <w:rFonts w:ascii="Arial" w:hAnsi="Arial" w:cs="Arial"/>
          <w:sz w:val="20"/>
          <w:szCs w:val="20"/>
        </w:rPr>
        <w:t>Each year the library continues to purchase new materials. Finding funding for new materials, including items such as special collections, data collections, and digital and print monographs, is more difficult as the focus tends to be on highly-used continuing resources such as serials and databases. The library also gets asked to support new curriculum areas and research, requiring a significant investment in new materials. The Library will need to develop partnerships with Faculties and Departments in the future in order to sustain the current access to materials.</w:t>
      </w:r>
    </w:p>
    <w:p w:rsidR="00B36E1D" w:rsidRPr="00D8149E" w:rsidRDefault="00B36E1D" w:rsidP="00B36E1D">
      <w:pPr>
        <w:pStyle w:val="NormalWeb"/>
        <w:spacing w:before="0" w:beforeAutospacing="0" w:after="0" w:afterAutospacing="0"/>
        <w:rPr>
          <w:rFonts w:ascii="Arial" w:hAnsi="Arial" w:cs="Arial"/>
          <w:sz w:val="20"/>
          <w:szCs w:val="20"/>
        </w:rPr>
      </w:pPr>
    </w:p>
    <w:p w:rsidR="00B36E1D" w:rsidRPr="00D8149E" w:rsidRDefault="00B36E1D" w:rsidP="00B36E1D">
      <w:pPr>
        <w:pStyle w:val="NormalWeb"/>
        <w:spacing w:before="0" w:beforeAutospacing="0" w:after="0" w:afterAutospacing="0"/>
        <w:rPr>
          <w:rFonts w:ascii="Arial" w:hAnsi="Arial" w:cs="Arial"/>
          <w:sz w:val="20"/>
          <w:szCs w:val="20"/>
        </w:rPr>
      </w:pPr>
      <w:r w:rsidRPr="00D8149E">
        <w:rPr>
          <w:rFonts w:ascii="Arial" w:hAnsi="Arial" w:cs="Arial"/>
          <w:sz w:val="20"/>
          <w:szCs w:val="20"/>
        </w:rPr>
        <w:t>Maintaining digital access to e-resources that support university research and curriculum is also extremely important, and costly. The prices for serials and databases continue to increase beyond the standard inflation rate. Currency exchange rates continue to fluctuate and are often unpredictable, leading to differences between projected and real expenditures.</w:t>
      </w:r>
    </w:p>
    <w:p w:rsidR="00B36E1D" w:rsidRPr="00D8149E" w:rsidRDefault="00B36E1D" w:rsidP="00B36E1D">
      <w:pPr>
        <w:pStyle w:val="NormalWeb"/>
        <w:spacing w:before="0" w:beforeAutospacing="0" w:after="0" w:afterAutospacing="0"/>
        <w:rPr>
          <w:rFonts w:ascii="Arial" w:hAnsi="Arial" w:cs="Arial"/>
          <w:sz w:val="20"/>
          <w:szCs w:val="20"/>
        </w:rPr>
      </w:pPr>
    </w:p>
    <w:p w:rsidR="00B36E1D" w:rsidRPr="00D8149E" w:rsidRDefault="00B36E1D" w:rsidP="00B36E1D">
      <w:pPr>
        <w:pStyle w:val="NormalWeb"/>
        <w:spacing w:before="0" w:beforeAutospacing="0" w:after="0" w:afterAutospacing="0"/>
        <w:rPr>
          <w:rFonts w:ascii="Arial" w:hAnsi="Arial" w:cs="Arial"/>
          <w:sz w:val="20"/>
          <w:szCs w:val="20"/>
        </w:rPr>
      </w:pPr>
      <w:r w:rsidRPr="00D8149E">
        <w:rPr>
          <w:rFonts w:ascii="Arial" w:hAnsi="Arial" w:cs="Arial"/>
          <w:sz w:val="20"/>
          <w:szCs w:val="20"/>
        </w:rPr>
        <w:t>UBC Library is also dedicated to preserving access to and acquisition of unique library materials. These are the resources that make our library special, offering access to material not held anywhere else in the world.</w:t>
      </w:r>
    </w:p>
    <w:p w:rsidR="00B36E1D" w:rsidRPr="00D8149E" w:rsidRDefault="00B36E1D" w:rsidP="00B36E1D">
      <w:pPr>
        <w:pStyle w:val="NormalWeb"/>
        <w:spacing w:before="0" w:beforeAutospacing="0" w:after="0" w:afterAutospacing="0"/>
        <w:rPr>
          <w:rFonts w:ascii="Arial" w:hAnsi="Arial" w:cs="Arial"/>
          <w:sz w:val="20"/>
          <w:szCs w:val="20"/>
        </w:rPr>
      </w:pPr>
    </w:p>
    <w:p w:rsidR="00B36E1D" w:rsidRPr="00D8149E" w:rsidRDefault="00B36E1D" w:rsidP="00B36E1D">
      <w:pPr>
        <w:pStyle w:val="NormalWeb"/>
        <w:spacing w:before="0" w:beforeAutospacing="0" w:after="0" w:afterAutospacing="0"/>
        <w:rPr>
          <w:rFonts w:ascii="Arial" w:hAnsi="Arial" w:cs="Arial"/>
          <w:sz w:val="20"/>
          <w:szCs w:val="20"/>
        </w:rPr>
      </w:pPr>
      <w:r w:rsidRPr="00D8149E">
        <w:rPr>
          <w:rFonts w:ascii="Arial" w:hAnsi="Arial" w:cs="Arial"/>
          <w:sz w:val="20"/>
          <w:szCs w:val="20"/>
        </w:rPr>
        <w:t>Of great importance to creating a sustainable budget is demonstrating the value and investment of the collections to the university.</w:t>
      </w:r>
    </w:p>
    <w:p w:rsidR="00B36E1D" w:rsidRPr="00D8149E" w:rsidRDefault="00B36E1D" w:rsidP="00B36E1D">
      <w:pPr>
        <w:pStyle w:val="NormalWeb"/>
        <w:spacing w:before="0" w:beforeAutospacing="0" w:after="0" w:afterAutospacing="0"/>
        <w:rPr>
          <w:rFonts w:ascii="Arial" w:hAnsi="Arial" w:cs="Arial"/>
          <w:sz w:val="20"/>
          <w:szCs w:val="20"/>
        </w:rPr>
      </w:pPr>
    </w:p>
    <w:p w:rsidR="00B36E1D" w:rsidRPr="00D8149E" w:rsidRDefault="00B36E1D" w:rsidP="00B36E1D">
      <w:pPr>
        <w:pStyle w:val="NormalWeb"/>
        <w:spacing w:before="0" w:beforeAutospacing="0" w:after="0" w:afterAutospacing="0"/>
        <w:rPr>
          <w:rFonts w:ascii="Arial" w:hAnsi="Arial" w:cs="Arial"/>
          <w:sz w:val="20"/>
          <w:szCs w:val="20"/>
        </w:rPr>
      </w:pPr>
      <w:r w:rsidRPr="00D8149E">
        <w:rPr>
          <w:rFonts w:ascii="Arial" w:hAnsi="Arial" w:cs="Arial"/>
          <w:sz w:val="20"/>
          <w:szCs w:val="20"/>
        </w:rPr>
        <w:t>Summary of constraints for a sustainable library Collections budget:</w:t>
      </w:r>
    </w:p>
    <w:p w:rsidR="00B36E1D" w:rsidRPr="00D8149E" w:rsidRDefault="00B36E1D" w:rsidP="00B36E1D">
      <w:pPr>
        <w:numPr>
          <w:ilvl w:val="0"/>
          <w:numId w:val="1"/>
        </w:numPr>
        <w:rPr>
          <w:rFonts w:ascii="Arial" w:hAnsi="Arial" w:cs="Arial"/>
          <w:sz w:val="20"/>
          <w:szCs w:val="20"/>
        </w:rPr>
      </w:pPr>
      <w:r w:rsidRPr="00D8149E">
        <w:rPr>
          <w:rFonts w:ascii="Arial" w:hAnsi="Arial" w:cs="Arial"/>
          <w:sz w:val="20"/>
          <w:szCs w:val="20"/>
        </w:rPr>
        <w:t>Continued price increases for serials and databases beyond standard inflation rates. We do our best to negotiate increase caps but particularly with journals we are less successful.</w:t>
      </w:r>
    </w:p>
    <w:p w:rsidR="00B36E1D" w:rsidRPr="00D8149E" w:rsidRDefault="00B36E1D" w:rsidP="00B36E1D">
      <w:pPr>
        <w:numPr>
          <w:ilvl w:val="0"/>
          <w:numId w:val="1"/>
        </w:numPr>
        <w:rPr>
          <w:rFonts w:ascii="Arial" w:hAnsi="Arial" w:cs="Arial"/>
          <w:sz w:val="20"/>
          <w:szCs w:val="20"/>
        </w:rPr>
      </w:pPr>
      <w:r w:rsidRPr="00D8149E">
        <w:rPr>
          <w:rFonts w:ascii="Arial" w:hAnsi="Arial" w:cs="Arial"/>
          <w:sz w:val="20"/>
          <w:szCs w:val="20"/>
        </w:rPr>
        <w:t xml:space="preserve">Fluctuating and sometimes unpredictable currency exchange </w:t>
      </w:r>
    </w:p>
    <w:p w:rsidR="00B36E1D" w:rsidRPr="00D8149E" w:rsidRDefault="00B36E1D" w:rsidP="00B36E1D">
      <w:pPr>
        <w:numPr>
          <w:ilvl w:val="0"/>
          <w:numId w:val="1"/>
        </w:numPr>
        <w:rPr>
          <w:rFonts w:ascii="Arial" w:hAnsi="Arial" w:cs="Arial"/>
          <w:sz w:val="20"/>
          <w:szCs w:val="20"/>
        </w:rPr>
      </w:pPr>
      <w:r w:rsidRPr="00D8149E">
        <w:rPr>
          <w:rFonts w:ascii="Arial" w:hAnsi="Arial" w:cs="Arial"/>
          <w:sz w:val="20"/>
          <w:szCs w:val="20"/>
        </w:rPr>
        <w:t xml:space="preserve">Licensing costs based on University’s research intensity metric (Elsevier) </w:t>
      </w:r>
    </w:p>
    <w:p w:rsidR="00B36E1D" w:rsidRPr="00D8149E" w:rsidRDefault="00B36E1D" w:rsidP="00B36E1D">
      <w:pPr>
        <w:numPr>
          <w:ilvl w:val="0"/>
          <w:numId w:val="1"/>
        </w:numPr>
        <w:rPr>
          <w:rFonts w:ascii="Arial" w:hAnsi="Arial" w:cs="Arial"/>
          <w:sz w:val="20"/>
          <w:szCs w:val="20"/>
        </w:rPr>
      </w:pPr>
      <w:r w:rsidRPr="00D8149E">
        <w:rPr>
          <w:rFonts w:ascii="Arial" w:hAnsi="Arial" w:cs="Arial"/>
          <w:sz w:val="20"/>
          <w:szCs w:val="20"/>
        </w:rPr>
        <w:t xml:space="preserve">Requests to support new curriculum areas and research </w:t>
      </w:r>
    </w:p>
    <w:p w:rsidR="00B36E1D" w:rsidRPr="00D8149E" w:rsidRDefault="00B36E1D" w:rsidP="00B36E1D">
      <w:pPr>
        <w:numPr>
          <w:ilvl w:val="0"/>
          <w:numId w:val="1"/>
        </w:numPr>
        <w:rPr>
          <w:rFonts w:ascii="Arial" w:hAnsi="Arial" w:cs="Arial"/>
          <w:sz w:val="20"/>
          <w:szCs w:val="20"/>
        </w:rPr>
      </w:pPr>
      <w:r w:rsidRPr="00D8149E">
        <w:rPr>
          <w:rFonts w:ascii="Arial" w:hAnsi="Arial" w:cs="Arial"/>
          <w:sz w:val="20"/>
          <w:szCs w:val="20"/>
        </w:rPr>
        <w:t xml:space="preserve">Preserving access and acquisition to unique library materials </w:t>
      </w:r>
    </w:p>
    <w:p w:rsidR="00B36E1D" w:rsidRPr="00D8149E" w:rsidRDefault="00B36E1D" w:rsidP="00B36E1D">
      <w:pPr>
        <w:numPr>
          <w:ilvl w:val="0"/>
          <w:numId w:val="1"/>
        </w:numPr>
        <w:rPr>
          <w:rFonts w:ascii="Arial" w:hAnsi="Arial" w:cs="Arial"/>
          <w:sz w:val="20"/>
          <w:szCs w:val="20"/>
        </w:rPr>
      </w:pPr>
      <w:r w:rsidRPr="00D8149E">
        <w:rPr>
          <w:rFonts w:ascii="Arial" w:hAnsi="Arial" w:cs="Arial"/>
          <w:sz w:val="20"/>
          <w:szCs w:val="20"/>
        </w:rPr>
        <w:t xml:space="preserve">Maintaining digital access to e-resources that support university research and curriculum </w:t>
      </w:r>
    </w:p>
    <w:p w:rsidR="00B36E1D" w:rsidRPr="00D8149E" w:rsidRDefault="00B36E1D" w:rsidP="00B36E1D">
      <w:pPr>
        <w:numPr>
          <w:ilvl w:val="0"/>
          <w:numId w:val="1"/>
        </w:numPr>
        <w:rPr>
          <w:rFonts w:ascii="Arial" w:hAnsi="Arial" w:cs="Arial"/>
          <w:sz w:val="20"/>
          <w:szCs w:val="20"/>
        </w:rPr>
      </w:pPr>
      <w:r w:rsidRPr="00D8149E">
        <w:rPr>
          <w:rFonts w:ascii="Arial" w:hAnsi="Arial" w:cs="Arial"/>
          <w:sz w:val="20"/>
          <w:szCs w:val="20"/>
        </w:rPr>
        <w:lastRenderedPageBreak/>
        <w:t xml:space="preserve">Funding for new materials-licensed digital infrastructure development, special collections, data collections, monographs (digital and print) </w:t>
      </w:r>
    </w:p>
    <w:p w:rsidR="00B36E1D" w:rsidRPr="00D8149E" w:rsidRDefault="00B36E1D" w:rsidP="00B36E1D">
      <w:pPr>
        <w:numPr>
          <w:ilvl w:val="0"/>
          <w:numId w:val="1"/>
        </w:numPr>
        <w:rPr>
          <w:rFonts w:ascii="Arial" w:hAnsi="Arial" w:cs="Arial"/>
          <w:sz w:val="20"/>
          <w:szCs w:val="20"/>
        </w:rPr>
      </w:pPr>
      <w:r w:rsidRPr="00D8149E">
        <w:rPr>
          <w:rFonts w:ascii="Arial" w:hAnsi="Arial" w:cs="Arial"/>
          <w:sz w:val="20"/>
          <w:szCs w:val="20"/>
        </w:rPr>
        <w:t>Demonstrating the value and investment of collections to the University Administration, Faculties and Departments</w:t>
      </w:r>
    </w:p>
    <w:p w:rsidR="00B36E1D" w:rsidRPr="00D8149E" w:rsidRDefault="00B36E1D" w:rsidP="00B36E1D">
      <w:pPr>
        <w:rPr>
          <w:rFonts w:ascii="Arial" w:hAnsi="Arial" w:cs="Arial"/>
          <w:sz w:val="20"/>
          <w:szCs w:val="20"/>
        </w:rPr>
      </w:pPr>
    </w:p>
    <w:p w:rsidR="00B36E1D" w:rsidRPr="00D8149E" w:rsidRDefault="00B36E1D" w:rsidP="00B36E1D">
      <w:pPr>
        <w:rPr>
          <w:rFonts w:ascii="Arial" w:hAnsi="Arial" w:cs="Arial"/>
          <w:sz w:val="20"/>
          <w:szCs w:val="20"/>
          <w:lang w:val="en-CA"/>
        </w:rPr>
      </w:pPr>
      <w:r w:rsidRPr="00D8149E">
        <w:rPr>
          <w:rFonts w:ascii="Arial" w:hAnsi="Arial" w:cs="Arial"/>
          <w:sz w:val="20"/>
          <w:szCs w:val="20"/>
        </w:rPr>
        <w:t xml:space="preserve">For more information see </w:t>
      </w:r>
      <w:hyperlink r:id="rId6" w:history="1">
        <w:r w:rsidRPr="00D8149E">
          <w:rPr>
            <w:rStyle w:val="Hyperlink"/>
            <w:rFonts w:ascii="Arial" w:hAnsi="Arial" w:cs="Arial"/>
            <w:sz w:val="20"/>
            <w:szCs w:val="20"/>
            <w:lang w:val="en-CA"/>
          </w:rPr>
          <w:t>http://collections.library.ubc.ca/</w:t>
        </w:r>
      </w:hyperlink>
    </w:p>
    <w:p w:rsidR="00B36E1D" w:rsidRPr="00D8149E" w:rsidRDefault="00B36E1D" w:rsidP="00B36E1D">
      <w:pPr>
        <w:rPr>
          <w:rFonts w:ascii="Arial" w:hAnsi="Arial" w:cs="Arial"/>
          <w:sz w:val="20"/>
          <w:szCs w:val="20"/>
          <w:lang w:val="en-CA"/>
        </w:rPr>
      </w:pPr>
    </w:p>
    <w:p w:rsidR="00B36E1D" w:rsidRPr="00D8149E" w:rsidRDefault="00B36E1D" w:rsidP="00B36E1D">
      <w:pPr>
        <w:rPr>
          <w:rFonts w:ascii="Arial" w:hAnsi="Arial" w:cs="Arial"/>
          <w:sz w:val="20"/>
          <w:szCs w:val="20"/>
        </w:rPr>
      </w:pPr>
      <w:r w:rsidRPr="00D8149E">
        <w:rPr>
          <w:rFonts w:ascii="Arial" w:hAnsi="Arial" w:cs="Arial"/>
          <w:b/>
          <w:bCs/>
          <w:i/>
          <w:iCs/>
          <w:sz w:val="20"/>
          <w:szCs w:val="20"/>
          <w:lang w:val="en-CA"/>
        </w:rPr>
        <w:t>Contact:</w:t>
      </w:r>
      <w:r w:rsidRPr="00D8149E">
        <w:rPr>
          <w:rFonts w:ascii="Arial" w:hAnsi="Arial" w:cs="Arial"/>
          <w:sz w:val="20"/>
          <w:szCs w:val="20"/>
        </w:rPr>
        <w:t xml:space="preserve"> Jo Anne Newyear-Ramirez, </w:t>
      </w:r>
      <w:smartTag w:uri="urn:schemas-microsoft-com:office:smarttags" w:element="place">
        <w:smartTag w:uri="urn:schemas-microsoft-com:office:smarttags" w:element="PlaceName">
          <w:r w:rsidRPr="00D8149E">
            <w:rPr>
              <w:rFonts w:ascii="Arial" w:hAnsi="Arial" w:cs="Arial"/>
              <w:sz w:val="20"/>
              <w:szCs w:val="20"/>
            </w:rPr>
            <w:t>Associate</w:t>
          </w:r>
        </w:smartTag>
        <w:r w:rsidRPr="00D8149E">
          <w:rPr>
            <w:rFonts w:ascii="Arial" w:hAnsi="Arial" w:cs="Arial"/>
            <w:sz w:val="20"/>
            <w:szCs w:val="20"/>
          </w:rPr>
          <w:t xml:space="preserve"> </w:t>
        </w:r>
        <w:smartTag w:uri="urn:schemas-microsoft-com:office:smarttags" w:element="PlaceType">
          <w:r w:rsidRPr="00D8149E">
            <w:rPr>
              <w:rFonts w:ascii="Arial" w:hAnsi="Arial" w:cs="Arial"/>
              <w:sz w:val="20"/>
              <w:szCs w:val="20"/>
            </w:rPr>
            <w:t>University</w:t>
          </w:r>
        </w:smartTag>
      </w:smartTag>
      <w:r w:rsidRPr="00D8149E">
        <w:rPr>
          <w:rFonts w:ascii="Arial" w:hAnsi="Arial" w:cs="Arial"/>
          <w:sz w:val="20"/>
          <w:szCs w:val="20"/>
        </w:rPr>
        <w:t xml:space="preserve"> Librarian for Collection Development</w:t>
      </w:r>
    </w:p>
    <w:p w:rsidR="00B36E1D" w:rsidRPr="00D8149E" w:rsidRDefault="00B36E1D" w:rsidP="00B36E1D">
      <w:pPr>
        <w:rPr>
          <w:rFonts w:ascii="Arial" w:hAnsi="Arial" w:cs="Arial"/>
          <w:sz w:val="20"/>
          <w:szCs w:val="20"/>
        </w:rPr>
      </w:pPr>
      <w:r w:rsidRPr="00D8149E">
        <w:rPr>
          <w:rFonts w:ascii="Arial" w:hAnsi="Arial" w:cs="Arial"/>
          <w:sz w:val="20"/>
          <w:szCs w:val="20"/>
        </w:rPr>
        <w:t xml:space="preserve"> </w:t>
      </w:r>
      <w:hyperlink r:id="rId7" w:history="1">
        <w:r w:rsidRPr="00D8149E">
          <w:rPr>
            <w:rStyle w:val="Hyperlink"/>
            <w:rFonts w:ascii="Arial" w:hAnsi="Arial" w:cs="Arial"/>
            <w:sz w:val="20"/>
            <w:szCs w:val="20"/>
          </w:rPr>
          <w:t>joanne.newyear-ramirez@ubc.ca</w:t>
        </w:r>
      </w:hyperlink>
      <w:r w:rsidRPr="00D8149E">
        <w:rPr>
          <w:rFonts w:ascii="Arial" w:hAnsi="Arial" w:cs="Arial"/>
          <w:sz w:val="20"/>
          <w:szCs w:val="20"/>
        </w:rPr>
        <w:t xml:space="preserve">  work: 604-822-2740 cell: 604-375-2906</w:t>
      </w:r>
    </w:p>
    <w:p w:rsidR="00B36E1D" w:rsidRPr="00D8149E" w:rsidRDefault="00B36E1D" w:rsidP="00B36E1D">
      <w:pPr>
        <w:rPr>
          <w:rFonts w:ascii="Arial" w:hAnsi="Arial" w:cs="Arial"/>
          <w:sz w:val="20"/>
          <w:szCs w:val="20"/>
        </w:rPr>
      </w:pPr>
    </w:p>
    <w:p w:rsidR="00FB74BC" w:rsidRDefault="00FB74BC">
      <w:bookmarkStart w:id="0" w:name="_GoBack"/>
      <w:bookmarkEnd w:id="0"/>
    </w:p>
    <w:sectPr w:rsidR="00FB74BC" w:rsidSect="00D8149E">
      <w:footerReference w:type="default" r:id="rId8"/>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39" w:rsidRDefault="00B36E1D" w:rsidP="002C211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1708"/>
    <w:multiLevelType w:val="multilevel"/>
    <w:tmpl w:val="71AA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16B55"/>
    <w:multiLevelType w:val="hybridMultilevel"/>
    <w:tmpl w:val="D9787C14"/>
    <w:lvl w:ilvl="0" w:tplc="E690B95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4403A6"/>
    <w:multiLevelType w:val="multilevel"/>
    <w:tmpl w:val="4F22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8A592C"/>
    <w:multiLevelType w:val="hybridMultilevel"/>
    <w:tmpl w:val="7042F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1D"/>
    <w:rsid w:val="00B36E1D"/>
    <w:rsid w:val="00FB7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1D"/>
    <w:pPr>
      <w:spacing w:after="0" w:line="240" w:lineRule="auto"/>
    </w:pPr>
    <w:rPr>
      <w:rFonts w:ascii="Times New Roman" w:eastAsia="SimSun" w:hAnsi="Times New Roman" w:cs="Times New Roman"/>
      <w:sz w:val="24"/>
      <w:szCs w:val="24"/>
    </w:rPr>
  </w:style>
  <w:style w:type="paragraph" w:styleId="Heading3">
    <w:name w:val="heading 3"/>
    <w:basedOn w:val="Normal"/>
    <w:link w:val="Heading3Char"/>
    <w:qFormat/>
    <w:rsid w:val="00B36E1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6E1D"/>
    <w:rPr>
      <w:rFonts w:ascii="Times New Roman" w:eastAsia="SimSun" w:hAnsi="Times New Roman" w:cs="Times New Roman"/>
      <w:b/>
      <w:bCs/>
      <w:sz w:val="27"/>
      <w:szCs w:val="27"/>
    </w:rPr>
  </w:style>
  <w:style w:type="paragraph" w:styleId="NormalWeb">
    <w:name w:val="Normal (Web)"/>
    <w:basedOn w:val="Normal"/>
    <w:rsid w:val="00B36E1D"/>
    <w:pPr>
      <w:spacing w:before="100" w:beforeAutospacing="1" w:after="100" w:afterAutospacing="1"/>
    </w:pPr>
  </w:style>
  <w:style w:type="character" w:styleId="Strong">
    <w:name w:val="Strong"/>
    <w:qFormat/>
    <w:rsid w:val="00B36E1D"/>
    <w:rPr>
      <w:b/>
      <w:bCs/>
    </w:rPr>
  </w:style>
  <w:style w:type="character" w:styleId="Hyperlink">
    <w:name w:val="Hyperlink"/>
    <w:rsid w:val="00B36E1D"/>
    <w:rPr>
      <w:color w:val="0000FF"/>
      <w:u w:val="single"/>
    </w:rPr>
  </w:style>
  <w:style w:type="paragraph" w:styleId="Footer">
    <w:name w:val="footer"/>
    <w:basedOn w:val="Normal"/>
    <w:link w:val="FooterChar"/>
    <w:rsid w:val="00B36E1D"/>
    <w:pPr>
      <w:tabs>
        <w:tab w:val="center" w:pos="4320"/>
        <w:tab w:val="right" w:pos="8640"/>
      </w:tabs>
    </w:pPr>
  </w:style>
  <w:style w:type="character" w:customStyle="1" w:styleId="FooterChar">
    <w:name w:val="Footer Char"/>
    <w:basedOn w:val="DefaultParagraphFont"/>
    <w:link w:val="Footer"/>
    <w:rsid w:val="00B36E1D"/>
    <w:rPr>
      <w:rFonts w:ascii="Times New Roman" w:eastAsia="SimSun" w:hAnsi="Times New Roman" w:cs="Times New Roman"/>
      <w:sz w:val="24"/>
      <w:szCs w:val="24"/>
    </w:rPr>
  </w:style>
  <w:style w:type="character" w:styleId="PageNumber">
    <w:name w:val="page number"/>
    <w:basedOn w:val="DefaultParagraphFont"/>
    <w:rsid w:val="00B36E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1D"/>
    <w:pPr>
      <w:spacing w:after="0" w:line="240" w:lineRule="auto"/>
    </w:pPr>
    <w:rPr>
      <w:rFonts w:ascii="Times New Roman" w:eastAsia="SimSun" w:hAnsi="Times New Roman" w:cs="Times New Roman"/>
      <w:sz w:val="24"/>
      <w:szCs w:val="24"/>
    </w:rPr>
  </w:style>
  <w:style w:type="paragraph" w:styleId="Heading3">
    <w:name w:val="heading 3"/>
    <w:basedOn w:val="Normal"/>
    <w:link w:val="Heading3Char"/>
    <w:qFormat/>
    <w:rsid w:val="00B36E1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6E1D"/>
    <w:rPr>
      <w:rFonts w:ascii="Times New Roman" w:eastAsia="SimSun" w:hAnsi="Times New Roman" w:cs="Times New Roman"/>
      <w:b/>
      <w:bCs/>
      <w:sz w:val="27"/>
      <w:szCs w:val="27"/>
    </w:rPr>
  </w:style>
  <w:style w:type="paragraph" w:styleId="NormalWeb">
    <w:name w:val="Normal (Web)"/>
    <w:basedOn w:val="Normal"/>
    <w:rsid w:val="00B36E1D"/>
    <w:pPr>
      <w:spacing w:before="100" w:beforeAutospacing="1" w:after="100" w:afterAutospacing="1"/>
    </w:pPr>
  </w:style>
  <w:style w:type="character" w:styleId="Strong">
    <w:name w:val="Strong"/>
    <w:qFormat/>
    <w:rsid w:val="00B36E1D"/>
    <w:rPr>
      <w:b/>
      <w:bCs/>
    </w:rPr>
  </w:style>
  <w:style w:type="character" w:styleId="Hyperlink">
    <w:name w:val="Hyperlink"/>
    <w:rsid w:val="00B36E1D"/>
    <w:rPr>
      <w:color w:val="0000FF"/>
      <w:u w:val="single"/>
    </w:rPr>
  </w:style>
  <w:style w:type="paragraph" w:styleId="Footer">
    <w:name w:val="footer"/>
    <w:basedOn w:val="Normal"/>
    <w:link w:val="FooterChar"/>
    <w:rsid w:val="00B36E1D"/>
    <w:pPr>
      <w:tabs>
        <w:tab w:val="center" w:pos="4320"/>
        <w:tab w:val="right" w:pos="8640"/>
      </w:tabs>
    </w:pPr>
  </w:style>
  <w:style w:type="character" w:customStyle="1" w:styleId="FooterChar">
    <w:name w:val="Footer Char"/>
    <w:basedOn w:val="DefaultParagraphFont"/>
    <w:link w:val="Footer"/>
    <w:rsid w:val="00B36E1D"/>
    <w:rPr>
      <w:rFonts w:ascii="Times New Roman" w:eastAsia="SimSun" w:hAnsi="Times New Roman" w:cs="Times New Roman"/>
      <w:sz w:val="24"/>
      <w:szCs w:val="24"/>
    </w:rPr>
  </w:style>
  <w:style w:type="character" w:styleId="PageNumber">
    <w:name w:val="page number"/>
    <w:basedOn w:val="DefaultParagraphFont"/>
    <w:rsid w:val="00B36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joanne.newyear-ramirez@u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llections.library.ubc.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Aleteia Greenwood</dc:creator>
  <cp:keywords/>
  <dc:description/>
  <cp:lastModifiedBy>Aleteia Greenwood</cp:lastModifiedBy>
  <cp:revision>1</cp:revision>
  <dcterms:created xsi:type="dcterms:W3CDTF">2012-01-11T21:17:00Z</dcterms:created>
  <dcterms:modified xsi:type="dcterms:W3CDTF">2012-01-11T21:18:00Z</dcterms:modified>
</cp:coreProperties>
</file>