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4B" w:rsidRPr="007D3FD0" w:rsidRDefault="0007767B" w:rsidP="008D1555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7D3FD0">
        <w:rPr>
          <w:rFonts w:ascii="Arial" w:hAnsi="Arial" w:cs="Arial"/>
          <w:b/>
          <w:bCs/>
          <w:sz w:val="20"/>
          <w:szCs w:val="20"/>
        </w:rPr>
        <w:t>Dehydration</w:t>
      </w:r>
    </w:p>
    <w:p w:rsidR="00F974FE" w:rsidRPr="007D3FD0" w:rsidRDefault="00F974FE" w:rsidP="00A204DD">
      <w:pPr>
        <w:pStyle w:val="Default"/>
        <w:tabs>
          <w:tab w:val="left" w:pos="270"/>
        </w:tabs>
        <w:spacing w:after="120"/>
        <w:ind w:hanging="274"/>
        <w:rPr>
          <w:rFonts w:ascii="Arial" w:hAnsi="Arial" w:cs="Arial"/>
          <w:i/>
          <w:sz w:val="18"/>
          <w:szCs w:val="18"/>
        </w:rPr>
      </w:pPr>
      <w:r w:rsidRPr="007D3FD0">
        <w:rPr>
          <w:rFonts w:ascii="Arial" w:hAnsi="Arial" w:cs="Arial"/>
          <w:i/>
          <w:sz w:val="18"/>
          <w:szCs w:val="18"/>
        </w:rPr>
        <w:t xml:space="preserve">1 </w:t>
      </w:r>
      <w:r w:rsidRPr="007D3FD0">
        <w:rPr>
          <w:rFonts w:ascii="Arial" w:hAnsi="Arial" w:cs="Arial"/>
          <w:i/>
          <w:sz w:val="18"/>
          <w:szCs w:val="18"/>
        </w:rPr>
        <w:tab/>
        <w:t xml:space="preserve">When assessing the acutely ill patient, look for signs and symptoms of dehydration. (e.g., look for dehydration in the patient </w:t>
      </w:r>
      <w:r w:rsidR="007D3FD0" w:rsidRPr="007D3FD0">
        <w:rPr>
          <w:rFonts w:ascii="Arial" w:hAnsi="Arial" w:cs="Arial"/>
          <w:i/>
          <w:sz w:val="18"/>
          <w:szCs w:val="18"/>
        </w:rPr>
        <w:t>with a debilitating pneumonia).</w:t>
      </w:r>
    </w:p>
    <w:p w:rsidR="007D3FD0" w:rsidRPr="007D3FD0" w:rsidRDefault="007D3FD0" w:rsidP="00A204DD">
      <w:pPr>
        <w:pStyle w:val="Default"/>
        <w:tabs>
          <w:tab w:val="left" w:pos="540"/>
        </w:tabs>
        <w:spacing w:after="120"/>
        <w:ind w:left="270" w:hanging="274"/>
        <w:rPr>
          <w:rFonts w:ascii="Arial" w:hAnsi="Arial" w:cs="Arial"/>
          <w:sz w:val="20"/>
          <w:szCs w:val="20"/>
        </w:rPr>
      </w:pPr>
      <w:r w:rsidRPr="007D3FD0">
        <w:rPr>
          <w:rFonts w:ascii="Arial" w:hAnsi="Arial" w:cs="Arial"/>
          <w:sz w:val="20"/>
          <w:szCs w:val="20"/>
        </w:rPr>
        <w:t>Do this.</w:t>
      </w:r>
    </w:p>
    <w:p w:rsidR="00F974FE" w:rsidRPr="007D3FD0" w:rsidRDefault="00F974FE" w:rsidP="00A204DD">
      <w:pPr>
        <w:pStyle w:val="Default"/>
        <w:tabs>
          <w:tab w:val="left" w:pos="270"/>
          <w:tab w:val="left" w:pos="5089"/>
        </w:tabs>
        <w:spacing w:after="120"/>
        <w:ind w:hanging="274"/>
        <w:rPr>
          <w:rFonts w:ascii="Arial" w:hAnsi="Arial" w:cs="Arial"/>
          <w:i/>
          <w:sz w:val="18"/>
          <w:szCs w:val="18"/>
        </w:rPr>
      </w:pPr>
      <w:r w:rsidRPr="007D3FD0">
        <w:rPr>
          <w:rFonts w:ascii="Arial" w:hAnsi="Arial" w:cs="Arial"/>
          <w:i/>
          <w:sz w:val="18"/>
          <w:szCs w:val="18"/>
        </w:rPr>
        <w:t xml:space="preserve">2 </w:t>
      </w:r>
      <w:r w:rsidRPr="007D3FD0">
        <w:rPr>
          <w:rFonts w:ascii="Arial" w:hAnsi="Arial" w:cs="Arial"/>
          <w:i/>
          <w:sz w:val="18"/>
          <w:szCs w:val="18"/>
        </w:rPr>
        <w:tab/>
        <w:t xml:space="preserve">In the dehydrated patient, assess the degree of dehydration using reliable indicators (e.g., vital signs) as some patients' hydration status may be more difficult to assess (e.g., elderly, very young, pregnant). </w:t>
      </w:r>
    </w:p>
    <w:p w:rsidR="007D3FD0" w:rsidRPr="007D3FD0" w:rsidRDefault="00A204DD" w:rsidP="00A204DD">
      <w:pPr>
        <w:pStyle w:val="Default"/>
        <w:tabs>
          <w:tab w:val="left" w:pos="540"/>
        </w:tabs>
        <w:spacing w:after="120"/>
        <w:ind w:hanging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patients with u</w:t>
      </w:r>
      <w:r w:rsidR="00FF5B6D">
        <w:rPr>
          <w:rFonts w:ascii="Arial" w:hAnsi="Arial" w:cs="Arial"/>
          <w:sz w:val="20"/>
          <w:szCs w:val="20"/>
        </w:rPr>
        <w:t xml:space="preserve">nstable vital signs or decreased level of </w:t>
      </w:r>
      <w:r>
        <w:rPr>
          <w:rFonts w:ascii="Arial" w:hAnsi="Arial" w:cs="Arial"/>
          <w:sz w:val="20"/>
          <w:szCs w:val="20"/>
        </w:rPr>
        <w:t>consciousness, the possibility of severe dehydration should be considered. Although change in weight is the most accurate way to determine the degree of dehydration</w:t>
      </w:r>
      <w:r>
        <w:rPr>
          <w:rStyle w:val="EndnoteReference"/>
          <w:rFonts w:ascii="Arial" w:hAnsi="Arial" w:cs="Arial"/>
          <w:sz w:val="20"/>
          <w:szCs w:val="20"/>
        </w:rPr>
        <w:endnoteReference w:id="1"/>
      </w:r>
      <w:r>
        <w:rPr>
          <w:rFonts w:ascii="Arial" w:hAnsi="Arial" w:cs="Arial"/>
          <w:sz w:val="20"/>
          <w:szCs w:val="20"/>
        </w:rPr>
        <w:t>, this is often not practical and physical signs may be helpful.</w:t>
      </w:r>
    </w:p>
    <w:p w:rsidR="00FF5B6D" w:rsidRPr="00FF5B6D" w:rsidRDefault="00FF5B6D" w:rsidP="00A204DD">
      <w:pPr>
        <w:pStyle w:val="Default"/>
        <w:tabs>
          <w:tab w:val="left" w:pos="540"/>
        </w:tabs>
        <w:rPr>
          <w:rFonts w:ascii="Arial" w:hAnsi="Arial" w:cs="Arial"/>
          <w:b/>
          <w:sz w:val="20"/>
          <w:szCs w:val="20"/>
        </w:rPr>
      </w:pPr>
      <w:r w:rsidRPr="00FF5B6D">
        <w:rPr>
          <w:rFonts w:ascii="Arial" w:hAnsi="Arial" w:cs="Arial"/>
          <w:b/>
          <w:sz w:val="20"/>
          <w:szCs w:val="20"/>
        </w:rPr>
        <w:t>The Degree of dehydration in chi</w:t>
      </w:r>
      <w:r>
        <w:rPr>
          <w:rFonts w:ascii="Arial" w:hAnsi="Arial" w:cs="Arial"/>
          <w:b/>
          <w:sz w:val="20"/>
          <w:szCs w:val="20"/>
        </w:rPr>
        <w:t>ldren may be assessed as follows</w:t>
      </w:r>
      <w:r w:rsidR="008008D1">
        <w:rPr>
          <w:rFonts w:ascii="Arial" w:hAnsi="Arial" w:cs="Arial"/>
          <w:b/>
          <w:sz w:val="20"/>
          <w:szCs w:val="20"/>
          <w:vertAlign w:val="superscript"/>
        </w:rPr>
        <w:t>i</w:t>
      </w:r>
      <w:r>
        <w:rPr>
          <w:rFonts w:ascii="Arial" w:hAnsi="Arial" w:cs="Arial"/>
          <w:b/>
          <w:sz w:val="20"/>
          <w:szCs w:val="20"/>
        </w:rPr>
        <w:t>:</w:t>
      </w:r>
      <w:r w:rsidRPr="00FF5B6D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052" w:type="dxa"/>
        <w:tblLayout w:type="fixed"/>
        <w:tblLook w:val="0000"/>
      </w:tblPr>
      <w:tblGrid>
        <w:gridCol w:w="2513"/>
        <w:gridCol w:w="2513"/>
        <w:gridCol w:w="2513"/>
        <w:gridCol w:w="2513"/>
      </w:tblGrid>
      <w:tr w:rsidR="007D3FD0" w:rsidRPr="007D3FD0" w:rsidTr="00FF5B6D">
        <w:trPr>
          <w:trHeight w:val="239"/>
        </w:trPr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Degree of dehydration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24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Mild</w:t>
            </w:r>
          </w:p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(5-7% body weight)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24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Moderate</w:t>
            </w:r>
          </w:p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(7-9% body weight)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Severe</w:t>
            </w:r>
          </w:p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(&gt;10% body weight)</w:t>
            </w:r>
          </w:p>
        </w:tc>
      </w:tr>
      <w:tr w:rsidR="007D3FD0" w:rsidRPr="007D3FD0" w:rsidTr="00FF5B6D">
        <w:trPr>
          <w:trHeight w:val="116"/>
        </w:trPr>
        <w:tc>
          <w:tcPr>
            <w:tcW w:w="2513" w:type="dxa"/>
            <w:tcBorders>
              <w:top w:val="single" w:sz="24" w:space="0" w:color="auto"/>
              <w:left w:val="single" w:sz="12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Fontanelle</w:t>
            </w:r>
          </w:p>
        </w:tc>
        <w:tc>
          <w:tcPr>
            <w:tcW w:w="2513" w:type="dxa"/>
            <w:tcBorders>
              <w:top w:val="single" w:sz="24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Slightly sunken</w:t>
            </w:r>
          </w:p>
        </w:tc>
        <w:tc>
          <w:tcPr>
            <w:tcW w:w="2513" w:type="dxa"/>
            <w:tcBorders>
              <w:top w:val="single" w:sz="24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Very sunken</w:t>
            </w:r>
          </w:p>
        </w:tc>
        <w:tc>
          <w:tcPr>
            <w:tcW w:w="2513" w:type="dxa"/>
            <w:tcBorders>
              <w:top w:val="single" w:sz="24" w:space="0" w:color="auto"/>
              <w:right w:val="single" w:sz="12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Very sunken</w:t>
            </w:r>
          </w:p>
        </w:tc>
      </w:tr>
      <w:tr w:rsidR="007D3FD0" w:rsidRPr="007D3FD0" w:rsidTr="00FF5B6D">
        <w:trPr>
          <w:trHeight w:val="116"/>
        </w:trPr>
        <w:tc>
          <w:tcPr>
            <w:tcW w:w="2513" w:type="dxa"/>
            <w:tcBorders>
              <w:left w:val="single" w:sz="12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Mucous membranes</w:t>
            </w:r>
          </w:p>
        </w:tc>
        <w:tc>
          <w:tcPr>
            <w:tcW w:w="2513" w:type="dxa"/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Slightly sticky</w:t>
            </w:r>
          </w:p>
        </w:tc>
        <w:tc>
          <w:tcPr>
            <w:tcW w:w="2513" w:type="dxa"/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Dry</w:t>
            </w:r>
          </w:p>
        </w:tc>
        <w:tc>
          <w:tcPr>
            <w:tcW w:w="2513" w:type="dxa"/>
            <w:tcBorders>
              <w:right w:val="single" w:sz="12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Very dry</w:t>
            </w:r>
          </w:p>
        </w:tc>
      </w:tr>
      <w:tr w:rsidR="007D3FD0" w:rsidRPr="007D3FD0" w:rsidTr="00FF5B6D">
        <w:trPr>
          <w:trHeight w:val="116"/>
        </w:trPr>
        <w:tc>
          <w:tcPr>
            <w:tcW w:w="2513" w:type="dxa"/>
            <w:tcBorders>
              <w:left w:val="single" w:sz="12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Skin turgor</w:t>
            </w:r>
          </w:p>
        </w:tc>
        <w:tc>
          <w:tcPr>
            <w:tcW w:w="2513" w:type="dxa"/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Normal</w:t>
            </w:r>
          </w:p>
        </w:tc>
        <w:tc>
          <w:tcPr>
            <w:tcW w:w="2513" w:type="dxa"/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Slightly decreased</w:t>
            </w:r>
          </w:p>
        </w:tc>
        <w:tc>
          <w:tcPr>
            <w:tcW w:w="2513" w:type="dxa"/>
            <w:tcBorders>
              <w:right w:val="single" w:sz="12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Markedly decreased</w:t>
            </w:r>
          </w:p>
        </w:tc>
      </w:tr>
      <w:tr w:rsidR="007D3FD0" w:rsidRPr="007D3FD0" w:rsidTr="00FF5B6D">
        <w:trPr>
          <w:trHeight w:val="116"/>
        </w:trPr>
        <w:tc>
          <w:tcPr>
            <w:tcW w:w="2513" w:type="dxa"/>
            <w:tcBorders>
              <w:left w:val="single" w:sz="12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Capillary refill time</w:t>
            </w:r>
          </w:p>
        </w:tc>
        <w:tc>
          <w:tcPr>
            <w:tcW w:w="2513" w:type="dxa"/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Normal (&lt;3 seconds)</w:t>
            </w:r>
          </w:p>
        </w:tc>
        <w:tc>
          <w:tcPr>
            <w:tcW w:w="2513" w:type="dxa"/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Normal (&lt;3 seconds)</w:t>
            </w:r>
          </w:p>
        </w:tc>
        <w:tc>
          <w:tcPr>
            <w:tcW w:w="2513" w:type="dxa"/>
            <w:tcBorders>
              <w:right w:val="single" w:sz="12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Delayed (≥3 seconds)</w:t>
            </w:r>
          </w:p>
        </w:tc>
      </w:tr>
      <w:tr w:rsidR="007D3FD0" w:rsidRPr="007D3FD0" w:rsidTr="00FF5B6D">
        <w:trPr>
          <w:trHeight w:val="116"/>
        </w:trPr>
        <w:tc>
          <w:tcPr>
            <w:tcW w:w="2513" w:type="dxa"/>
            <w:tcBorders>
              <w:left w:val="single" w:sz="12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Urine output</w:t>
            </w:r>
          </w:p>
        </w:tc>
        <w:tc>
          <w:tcPr>
            <w:tcW w:w="2513" w:type="dxa"/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Normal</w:t>
            </w:r>
          </w:p>
        </w:tc>
        <w:tc>
          <w:tcPr>
            <w:tcW w:w="2513" w:type="dxa"/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Slightly decreased</w:t>
            </w:r>
          </w:p>
        </w:tc>
        <w:tc>
          <w:tcPr>
            <w:tcW w:w="2513" w:type="dxa"/>
            <w:tcBorders>
              <w:right w:val="single" w:sz="12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Decreased or absent</w:t>
            </w:r>
          </w:p>
        </w:tc>
      </w:tr>
      <w:tr w:rsidR="007D3FD0" w:rsidRPr="007D3FD0" w:rsidTr="00FF5B6D">
        <w:trPr>
          <w:trHeight w:val="116"/>
        </w:trPr>
        <w:tc>
          <w:tcPr>
            <w:tcW w:w="2513" w:type="dxa"/>
            <w:tcBorders>
              <w:left w:val="single" w:sz="12" w:space="0" w:color="auto"/>
              <w:bottom w:val="single" w:sz="12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Mental status</w:t>
            </w:r>
          </w:p>
        </w:tc>
        <w:tc>
          <w:tcPr>
            <w:tcW w:w="2513" w:type="dxa"/>
            <w:tcBorders>
              <w:bottom w:val="single" w:sz="12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Normal</w:t>
            </w:r>
          </w:p>
        </w:tc>
        <w:tc>
          <w:tcPr>
            <w:tcW w:w="2513" w:type="dxa"/>
            <w:tcBorders>
              <w:bottom w:val="single" w:sz="12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Slightly fussy</w:t>
            </w:r>
          </w:p>
        </w:tc>
        <w:tc>
          <w:tcPr>
            <w:tcW w:w="2513" w:type="dxa"/>
            <w:tcBorders>
              <w:bottom w:val="single" w:sz="12" w:space="0" w:color="auto"/>
              <w:right w:val="single" w:sz="12" w:space="0" w:color="auto"/>
            </w:tcBorders>
          </w:tcPr>
          <w:p w:rsidR="007D3FD0" w:rsidRPr="007D3FD0" w:rsidRDefault="007D3FD0" w:rsidP="007D3FD0">
            <w:pPr>
              <w:autoSpaceDE w:val="0"/>
              <w:autoSpaceDN w:val="0"/>
              <w:adjustRightInd w:val="0"/>
              <w:spacing w:line="161" w:lineRule="atLeast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7D3FD0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Irritable or lethargic</w:t>
            </w:r>
          </w:p>
        </w:tc>
      </w:tr>
    </w:tbl>
    <w:p w:rsidR="00F974FE" w:rsidRPr="00FF5B6D" w:rsidRDefault="00FF5B6D" w:rsidP="00A204DD">
      <w:pPr>
        <w:pStyle w:val="Default"/>
        <w:tabs>
          <w:tab w:val="left" w:pos="540"/>
        </w:tabs>
        <w:spacing w:before="120"/>
        <w:rPr>
          <w:rFonts w:ascii="Arial" w:hAnsi="Arial" w:cs="Arial"/>
          <w:b/>
          <w:sz w:val="20"/>
          <w:szCs w:val="20"/>
        </w:rPr>
      </w:pPr>
      <w:r w:rsidRPr="00FF5B6D">
        <w:rPr>
          <w:rFonts w:ascii="Arial" w:hAnsi="Arial" w:cs="Arial"/>
          <w:b/>
          <w:sz w:val="20"/>
          <w:szCs w:val="20"/>
        </w:rPr>
        <w:t xml:space="preserve">The degree of dehydration in adults is less quantifiable, but signs of dehydration </w:t>
      </w:r>
      <w:r w:rsidR="00000134">
        <w:rPr>
          <w:rFonts w:ascii="Arial" w:hAnsi="Arial" w:cs="Arial"/>
          <w:b/>
          <w:sz w:val="20"/>
          <w:szCs w:val="20"/>
        </w:rPr>
        <w:t>include the</w:t>
      </w:r>
      <w:r w:rsidRPr="00FF5B6D">
        <w:rPr>
          <w:rFonts w:ascii="Arial" w:hAnsi="Arial" w:cs="Arial"/>
          <w:b/>
          <w:sz w:val="20"/>
          <w:szCs w:val="20"/>
        </w:rPr>
        <w:t xml:space="preserve"> follow</w:t>
      </w:r>
      <w:r w:rsidR="00000134">
        <w:rPr>
          <w:rFonts w:ascii="Arial" w:hAnsi="Arial" w:cs="Arial"/>
          <w:b/>
          <w:sz w:val="20"/>
          <w:szCs w:val="20"/>
        </w:rPr>
        <w:t>ing</w:t>
      </w:r>
      <w:r w:rsidR="008E126E">
        <w:rPr>
          <w:rStyle w:val="EndnoteReference"/>
          <w:rFonts w:ascii="Arial" w:hAnsi="Arial" w:cs="Arial"/>
          <w:b/>
          <w:sz w:val="20"/>
          <w:szCs w:val="20"/>
        </w:rPr>
        <w:endnoteReference w:id="2"/>
      </w:r>
      <w:r w:rsidRPr="00FF5B6D">
        <w:rPr>
          <w:rFonts w:ascii="Arial" w:hAnsi="Arial" w:cs="Arial"/>
          <w:b/>
          <w:sz w:val="20"/>
          <w:szCs w:val="20"/>
        </w:rPr>
        <w:t>:</w:t>
      </w:r>
    </w:p>
    <w:p w:rsidR="00FF5B6D" w:rsidRPr="00FF5B6D" w:rsidRDefault="00FF5B6D" w:rsidP="00A204DD">
      <w:pPr>
        <w:pStyle w:val="Default"/>
        <w:tabs>
          <w:tab w:val="left" w:pos="540"/>
        </w:tabs>
        <w:rPr>
          <w:rFonts w:ascii="Arial" w:hAnsi="Arial" w:cs="Arial"/>
          <w:b/>
          <w:sz w:val="20"/>
          <w:szCs w:val="20"/>
        </w:rPr>
        <w:sectPr w:rsidR="00FF5B6D" w:rsidRPr="00FF5B6D" w:rsidSect="008D1555">
          <w:pgSz w:w="12240" w:h="15840"/>
          <w:pgMar w:top="864" w:right="864" w:bottom="864" w:left="864" w:header="706" w:footer="706" w:gutter="0"/>
          <w:cols w:space="708"/>
          <w:docGrid w:linePitch="360"/>
        </w:sectPr>
      </w:pPr>
    </w:p>
    <w:p w:rsidR="00F974FE" w:rsidRPr="00FF5B6D" w:rsidRDefault="00F974FE" w:rsidP="00A204DD">
      <w:pPr>
        <w:pStyle w:val="Default"/>
        <w:numPr>
          <w:ilvl w:val="0"/>
          <w:numId w:val="7"/>
        </w:numPr>
        <w:tabs>
          <w:tab w:val="left" w:pos="270"/>
        </w:tabs>
        <w:ind w:left="270" w:hanging="270"/>
        <w:rPr>
          <w:rFonts w:ascii="Arial" w:hAnsi="Arial" w:cs="Arial"/>
          <w:sz w:val="20"/>
          <w:szCs w:val="20"/>
        </w:rPr>
      </w:pPr>
      <w:r w:rsidRPr="00FF5B6D">
        <w:rPr>
          <w:rFonts w:ascii="Arial" w:hAnsi="Arial" w:cs="Arial"/>
          <w:sz w:val="20"/>
          <w:szCs w:val="20"/>
        </w:rPr>
        <w:lastRenderedPageBreak/>
        <w:t xml:space="preserve">Pulse rate &gt;90 </w:t>
      </w:r>
    </w:p>
    <w:p w:rsidR="00F974FE" w:rsidRDefault="00F974FE" w:rsidP="00A204DD">
      <w:pPr>
        <w:pStyle w:val="Default"/>
        <w:numPr>
          <w:ilvl w:val="0"/>
          <w:numId w:val="7"/>
        </w:numPr>
        <w:tabs>
          <w:tab w:val="left" w:pos="270"/>
        </w:tabs>
        <w:ind w:left="270" w:hanging="270"/>
        <w:rPr>
          <w:rFonts w:ascii="Arial" w:hAnsi="Arial" w:cs="Arial"/>
          <w:sz w:val="20"/>
          <w:szCs w:val="20"/>
        </w:rPr>
      </w:pPr>
      <w:r w:rsidRPr="00FF5B6D">
        <w:rPr>
          <w:rFonts w:ascii="Arial" w:hAnsi="Arial" w:cs="Arial"/>
          <w:sz w:val="20"/>
          <w:szCs w:val="20"/>
        </w:rPr>
        <w:t xml:space="preserve">Postural hypotension </w:t>
      </w:r>
    </w:p>
    <w:p w:rsidR="00000134" w:rsidRPr="00FF5B6D" w:rsidRDefault="00000134" w:rsidP="00A204DD">
      <w:pPr>
        <w:pStyle w:val="Default"/>
        <w:numPr>
          <w:ilvl w:val="0"/>
          <w:numId w:val="7"/>
        </w:numPr>
        <w:tabs>
          <w:tab w:val="left" w:pos="270"/>
        </w:tabs>
        <w:ind w:left="27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Decreased Urine Output</w:t>
      </w:r>
    </w:p>
    <w:p w:rsidR="00F974FE" w:rsidRPr="00FF5B6D" w:rsidRDefault="00F974FE" w:rsidP="00A204DD">
      <w:pPr>
        <w:pStyle w:val="Default"/>
        <w:numPr>
          <w:ilvl w:val="0"/>
          <w:numId w:val="7"/>
        </w:numPr>
        <w:tabs>
          <w:tab w:val="left" w:pos="270"/>
        </w:tabs>
        <w:ind w:left="0" w:hanging="270"/>
        <w:rPr>
          <w:rFonts w:ascii="Arial" w:hAnsi="Arial" w:cs="Arial"/>
          <w:sz w:val="20"/>
          <w:szCs w:val="20"/>
        </w:rPr>
      </w:pPr>
      <w:r w:rsidRPr="00FF5B6D">
        <w:rPr>
          <w:rFonts w:ascii="Arial" w:hAnsi="Arial" w:cs="Arial"/>
          <w:sz w:val="20"/>
          <w:szCs w:val="20"/>
        </w:rPr>
        <w:lastRenderedPageBreak/>
        <w:t xml:space="preserve">Supine hypotension and absence of palpable pulse </w:t>
      </w:r>
    </w:p>
    <w:p w:rsidR="00F974FE" w:rsidRDefault="00F974FE" w:rsidP="00A204DD">
      <w:pPr>
        <w:pStyle w:val="Default"/>
        <w:numPr>
          <w:ilvl w:val="0"/>
          <w:numId w:val="7"/>
        </w:numPr>
        <w:tabs>
          <w:tab w:val="left" w:pos="270"/>
        </w:tabs>
        <w:ind w:left="0" w:hanging="270"/>
        <w:rPr>
          <w:rFonts w:ascii="Arial" w:hAnsi="Arial" w:cs="Arial"/>
          <w:sz w:val="20"/>
          <w:szCs w:val="20"/>
        </w:rPr>
      </w:pPr>
      <w:r w:rsidRPr="00FF5B6D">
        <w:rPr>
          <w:rFonts w:ascii="Arial" w:hAnsi="Arial" w:cs="Arial"/>
          <w:sz w:val="20"/>
          <w:szCs w:val="20"/>
        </w:rPr>
        <w:t xml:space="preserve">Dry tongue </w:t>
      </w:r>
    </w:p>
    <w:p w:rsidR="00000134" w:rsidRPr="00000134" w:rsidRDefault="00000134" w:rsidP="00000134">
      <w:pPr>
        <w:pStyle w:val="Default"/>
        <w:tabs>
          <w:tab w:val="left" w:pos="270"/>
        </w:tabs>
        <w:rPr>
          <w:rFonts w:ascii="Arial" w:hAnsi="Arial" w:cs="Arial"/>
          <w:sz w:val="2"/>
          <w:szCs w:val="2"/>
        </w:rPr>
      </w:pPr>
    </w:p>
    <w:p w:rsidR="00F974FE" w:rsidRPr="00FF5B6D" w:rsidRDefault="00F974FE" w:rsidP="00A204DD">
      <w:pPr>
        <w:pStyle w:val="Default"/>
        <w:numPr>
          <w:ilvl w:val="0"/>
          <w:numId w:val="7"/>
        </w:numPr>
        <w:tabs>
          <w:tab w:val="left" w:pos="270"/>
        </w:tabs>
        <w:ind w:left="0" w:hanging="270"/>
        <w:rPr>
          <w:rFonts w:ascii="Arial" w:hAnsi="Arial" w:cs="Arial"/>
          <w:sz w:val="20"/>
          <w:szCs w:val="20"/>
        </w:rPr>
      </w:pPr>
      <w:r w:rsidRPr="00FF5B6D">
        <w:rPr>
          <w:rFonts w:ascii="Arial" w:hAnsi="Arial" w:cs="Arial"/>
          <w:sz w:val="20"/>
          <w:szCs w:val="20"/>
        </w:rPr>
        <w:lastRenderedPageBreak/>
        <w:t xml:space="preserve">Sunken eyeballs </w:t>
      </w:r>
    </w:p>
    <w:p w:rsidR="00F974FE" w:rsidRDefault="00F974FE" w:rsidP="00A204DD">
      <w:pPr>
        <w:pStyle w:val="Default"/>
        <w:numPr>
          <w:ilvl w:val="0"/>
          <w:numId w:val="7"/>
        </w:numPr>
        <w:tabs>
          <w:tab w:val="left" w:pos="270"/>
        </w:tabs>
        <w:ind w:left="0" w:hanging="270"/>
        <w:rPr>
          <w:rFonts w:ascii="Arial" w:hAnsi="Arial" w:cs="Arial"/>
          <w:sz w:val="20"/>
          <w:szCs w:val="20"/>
        </w:rPr>
      </w:pPr>
      <w:r w:rsidRPr="00FF5B6D">
        <w:rPr>
          <w:rFonts w:ascii="Arial" w:hAnsi="Arial" w:cs="Arial"/>
          <w:sz w:val="20"/>
          <w:szCs w:val="20"/>
        </w:rPr>
        <w:t>Skin pinch</w:t>
      </w:r>
    </w:p>
    <w:p w:rsidR="00000134" w:rsidRPr="00FF5B6D" w:rsidRDefault="00000134" w:rsidP="00A204DD">
      <w:pPr>
        <w:pStyle w:val="Default"/>
        <w:numPr>
          <w:ilvl w:val="0"/>
          <w:numId w:val="7"/>
        </w:numPr>
        <w:tabs>
          <w:tab w:val="left" w:pos="270"/>
        </w:tabs>
        <w:ind w:left="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in mental Status</w:t>
      </w:r>
    </w:p>
    <w:p w:rsidR="00FF5B6D" w:rsidRDefault="00FF5B6D" w:rsidP="00A204DD">
      <w:pPr>
        <w:pStyle w:val="Default"/>
        <w:numPr>
          <w:ilvl w:val="0"/>
          <w:numId w:val="7"/>
        </w:numPr>
        <w:tabs>
          <w:tab w:val="left" w:pos="270"/>
        </w:tabs>
        <w:ind w:left="0" w:hanging="270"/>
        <w:rPr>
          <w:rFonts w:ascii="Arial" w:hAnsi="Arial" w:cs="Arial"/>
          <w:sz w:val="20"/>
          <w:szCs w:val="20"/>
        </w:rPr>
        <w:sectPr w:rsidR="00FF5B6D" w:rsidSect="008D1555">
          <w:type w:val="continuous"/>
          <w:pgSz w:w="12240" w:h="15840"/>
          <w:pgMar w:top="864" w:right="864" w:bottom="864" w:left="864" w:header="706" w:footer="706" w:gutter="0"/>
          <w:cols w:num="3" w:space="708"/>
          <w:docGrid w:linePitch="360"/>
        </w:sectPr>
      </w:pPr>
    </w:p>
    <w:p w:rsidR="00F974FE" w:rsidRPr="00B142D2" w:rsidRDefault="008E126E" w:rsidP="00A204DD">
      <w:pPr>
        <w:pStyle w:val="Default"/>
        <w:tabs>
          <w:tab w:val="left" w:pos="540"/>
        </w:tabs>
        <w:spacing w:before="120" w:after="120"/>
        <w:rPr>
          <w:rFonts w:ascii="Arial" w:hAnsi="Arial" w:cs="Arial"/>
          <w:b/>
          <w:sz w:val="20"/>
          <w:szCs w:val="20"/>
        </w:rPr>
      </w:pPr>
      <w:r w:rsidRPr="00B142D2">
        <w:rPr>
          <w:rFonts w:ascii="Arial" w:hAnsi="Arial" w:cs="Arial"/>
          <w:b/>
          <w:sz w:val="20"/>
          <w:szCs w:val="20"/>
        </w:rPr>
        <w:lastRenderedPageBreak/>
        <w:t>Signs and symptoms of de</w:t>
      </w:r>
      <w:r w:rsidR="00B142D2" w:rsidRPr="00B142D2">
        <w:rPr>
          <w:rFonts w:ascii="Arial" w:hAnsi="Arial" w:cs="Arial"/>
          <w:b/>
          <w:sz w:val="20"/>
          <w:szCs w:val="20"/>
        </w:rPr>
        <w:t>hydration in the frail elderly are non specific</w:t>
      </w:r>
      <w:r w:rsidR="00B142D2">
        <w:rPr>
          <w:rFonts w:ascii="Arial" w:hAnsi="Arial" w:cs="Arial"/>
          <w:b/>
          <w:sz w:val="20"/>
          <w:szCs w:val="20"/>
        </w:rPr>
        <w:t xml:space="preserve"> </w:t>
      </w:r>
      <w:r w:rsidR="00B142D2" w:rsidRPr="00B142D2">
        <w:rPr>
          <w:rFonts w:ascii="Arial" w:hAnsi="Arial" w:cs="Arial"/>
          <w:sz w:val="20"/>
          <w:szCs w:val="20"/>
        </w:rPr>
        <w:t>such as</w:t>
      </w:r>
      <w:r w:rsidR="00F974FE" w:rsidRPr="007D3FD0">
        <w:rPr>
          <w:rFonts w:ascii="Arial" w:hAnsi="Arial" w:cs="Arial"/>
          <w:sz w:val="20"/>
          <w:szCs w:val="20"/>
          <w:lang w:val="en-US"/>
        </w:rPr>
        <w:t xml:space="preserve"> change in mental status or falls. </w:t>
      </w:r>
      <w:r w:rsidR="00A204DD">
        <w:rPr>
          <w:rFonts w:ascii="Arial" w:hAnsi="Arial" w:cs="Arial"/>
          <w:sz w:val="20"/>
          <w:szCs w:val="20"/>
          <w:lang w:val="en-US"/>
        </w:rPr>
        <w:t>O</w:t>
      </w:r>
      <w:r w:rsidR="00F974FE" w:rsidRPr="007D3FD0">
        <w:rPr>
          <w:rFonts w:ascii="Arial" w:hAnsi="Arial" w:cs="Arial"/>
          <w:sz w:val="20"/>
          <w:szCs w:val="20"/>
          <w:lang w:val="en-US"/>
        </w:rPr>
        <w:t xml:space="preserve">rthostatic hypotension and dry mucous membranes </w:t>
      </w:r>
      <w:r w:rsidR="00A204DD">
        <w:rPr>
          <w:rFonts w:ascii="Arial" w:hAnsi="Arial" w:cs="Arial"/>
          <w:sz w:val="20"/>
          <w:szCs w:val="20"/>
          <w:lang w:val="en-US"/>
        </w:rPr>
        <w:t>may only be present with profound dehydration</w:t>
      </w:r>
      <w:r w:rsidR="00A204DD">
        <w:rPr>
          <w:rStyle w:val="EndnoteReference"/>
          <w:rFonts w:ascii="Arial" w:hAnsi="Arial" w:cs="Arial"/>
          <w:sz w:val="20"/>
          <w:szCs w:val="20"/>
          <w:lang w:val="en-US"/>
        </w:rPr>
        <w:endnoteReference w:id="3"/>
      </w:r>
      <w:r w:rsidR="00F974FE" w:rsidRPr="007D3FD0">
        <w:rPr>
          <w:rFonts w:ascii="Arial" w:hAnsi="Arial" w:cs="Arial"/>
          <w:sz w:val="20"/>
          <w:szCs w:val="20"/>
          <w:lang w:val="en-US"/>
        </w:rPr>
        <w:t>.</w:t>
      </w:r>
    </w:p>
    <w:p w:rsidR="00F974FE" w:rsidRPr="00A204DD" w:rsidRDefault="00F974FE" w:rsidP="00A204DD">
      <w:pPr>
        <w:pStyle w:val="Default"/>
        <w:tabs>
          <w:tab w:val="left" w:pos="270"/>
          <w:tab w:val="left" w:pos="5089"/>
        </w:tabs>
        <w:spacing w:after="120"/>
        <w:ind w:hanging="274"/>
        <w:rPr>
          <w:rFonts w:ascii="Arial" w:hAnsi="Arial" w:cs="Arial"/>
          <w:i/>
          <w:sz w:val="18"/>
          <w:szCs w:val="18"/>
        </w:rPr>
      </w:pPr>
      <w:r w:rsidRPr="00A204DD">
        <w:rPr>
          <w:rFonts w:ascii="Arial" w:hAnsi="Arial" w:cs="Arial"/>
          <w:i/>
          <w:sz w:val="18"/>
          <w:szCs w:val="18"/>
        </w:rPr>
        <w:t>3</w:t>
      </w:r>
      <w:r w:rsidR="00A204DD">
        <w:rPr>
          <w:rFonts w:ascii="Arial" w:hAnsi="Arial" w:cs="Arial"/>
          <w:i/>
          <w:sz w:val="18"/>
          <w:szCs w:val="18"/>
        </w:rPr>
        <w:t>a</w:t>
      </w:r>
      <w:r w:rsidRPr="00A204DD">
        <w:rPr>
          <w:rFonts w:ascii="Arial" w:hAnsi="Arial" w:cs="Arial"/>
          <w:i/>
          <w:sz w:val="18"/>
          <w:szCs w:val="18"/>
        </w:rPr>
        <w:t xml:space="preserve"> </w:t>
      </w:r>
      <w:r w:rsidRPr="00A204DD">
        <w:rPr>
          <w:rFonts w:ascii="Arial" w:hAnsi="Arial" w:cs="Arial"/>
          <w:i/>
          <w:sz w:val="18"/>
          <w:szCs w:val="18"/>
        </w:rPr>
        <w:tab/>
        <w:t xml:space="preserve">In a dehydrated patient, </w:t>
      </w:r>
      <w:r w:rsidR="006A5394">
        <w:rPr>
          <w:rFonts w:ascii="Arial" w:hAnsi="Arial" w:cs="Arial"/>
          <w:i/>
          <w:sz w:val="18"/>
          <w:szCs w:val="18"/>
        </w:rPr>
        <w:t>d</w:t>
      </w:r>
      <w:r w:rsidRPr="00A204DD">
        <w:rPr>
          <w:rFonts w:ascii="Arial" w:hAnsi="Arial" w:cs="Arial"/>
          <w:i/>
          <w:sz w:val="18"/>
          <w:szCs w:val="18"/>
        </w:rPr>
        <w:t xml:space="preserve">etermine the appropriate volume of fluid for replacement of deficiency and ongoing needs, </w:t>
      </w:r>
    </w:p>
    <w:p w:rsidR="00A204DD" w:rsidRPr="007D3FD0" w:rsidRDefault="00DB591E" w:rsidP="00A204DD">
      <w:pPr>
        <w:pStyle w:val="Default"/>
        <w:tabs>
          <w:tab w:val="left" w:pos="540"/>
        </w:tabs>
        <w:spacing w:after="120"/>
        <w:ind w:hanging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children</w:t>
      </w:r>
      <w:r w:rsidR="008217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</w:t>
      </w:r>
      <w:r w:rsidR="004262DB">
        <w:rPr>
          <w:rFonts w:ascii="Arial" w:hAnsi="Arial" w:cs="Arial"/>
          <w:sz w:val="20"/>
          <w:szCs w:val="20"/>
        </w:rPr>
        <w:t xml:space="preserve">sing oral rehydration therapy, the fluid deficit (mild 5-7%; mod 7-9%) can be corrected over 3-4 hours with appropriate oral rehydration formulas. Fluid deficits treated with isotonic IV preparations should be corrected </w:t>
      </w:r>
      <w:r w:rsidR="00DC60DF">
        <w:rPr>
          <w:rFonts w:ascii="Arial" w:hAnsi="Arial" w:cs="Arial"/>
          <w:sz w:val="20"/>
          <w:szCs w:val="20"/>
        </w:rPr>
        <w:t>more slowly with boluses of 10</w:t>
      </w:r>
      <w:r w:rsidR="0072696F">
        <w:rPr>
          <w:rFonts w:ascii="Arial" w:hAnsi="Arial" w:cs="Arial"/>
          <w:sz w:val="20"/>
          <w:szCs w:val="20"/>
        </w:rPr>
        <w:t xml:space="preserve"> to 20mg/kg as needed</w:t>
      </w:r>
      <w:r w:rsidR="008008D1" w:rsidRPr="008008D1">
        <w:rPr>
          <w:rFonts w:ascii="Arial" w:hAnsi="Arial" w:cs="Arial"/>
          <w:sz w:val="20"/>
          <w:szCs w:val="20"/>
          <w:vertAlign w:val="superscript"/>
        </w:rPr>
        <w:t>i</w:t>
      </w:r>
      <w:r w:rsidR="0072696F">
        <w:rPr>
          <w:rFonts w:ascii="Arial" w:hAnsi="Arial" w:cs="Arial"/>
          <w:sz w:val="20"/>
          <w:szCs w:val="20"/>
        </w:rPr>
        <w:t>. Maintenance fluids can be calculated using the 4, 2, 1 rule and ongoing losses should also be replaced. One can estimate a loss of 60-120 ml per diarrheal stool or vomiting episode</w:t>
      </w:r>
      <w:r w:rsidR="008008D1" w:rsidRPr="008008D1">
        <w:rPr>
          <w:rFonts w:ascii="Arial" w:hAnsi="Arial" w:cs="Arial"/>
          <w:sz w:val="20"/>
          <w:szCs w:val="20"/>
          <w:vertAlign w:val="superscript"/>
        </w:rPr>
        <w:t>ii</w:t>
      </w:r>
      <w:r w:rsidR="0072696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Similar principles apply to adults.</w:t>
      </w:r>
    </w:p>
    <w:p w:rsidR="00F974FE" w:rsidRPr="00A204DD" w:rsidRDefault="00A204DD" w:rsidP="00A204DD">
      <w:pPr>
        <w:pStyle w:val="Default"/>
        <w:tabs>
          <w:tab w:val="left" w:pos="270"/>
          <w:tab w:val="left" w:pos="5089"/>
        </w:tabs>
        <w:spacing w:after="120"/>
        <w:ind w:hanging="27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3b</w:t>
      </w:r>
      <w:r>
        <w:rPr>
          <w:rFonts w:ascii="Arial" w:hAnsi="Arial" w:cs="Arial"/>
          <w:i/>
          <w:sz w:val="18"/>
          <w:szCs w:val="18"/>
        </w:rPr>
        <w:tab/>
      </w:r>
      <w:r w:rsidR="006A5394" w:rsidRPr="00A204DD">
        <w:rPr>
          <w:rFonts w:ascii="Arial" w:hAnsi="Arial" w:cs="Arial"/>
          <w:i/>
          <w:sz w:val="18"/>
          <w:szCs w:val="18"/>
        </w:rPr>
        <w:t>In a dehydrated patient</w:t>
      </w:r>
      <w:r w:rsidR="006A5394">
        <w:rPr>
          <w:rFonts w:ascii="Arial" w:hAnsi="Arial" w:cs="Arial"/>
          <w:i/>
          <w:sz w:val="18"/>
          <w:szCs w:val="18"/>
        </w:rPr>
        <w:t>, u</w:t>
      </w:r>
      <w:r w:rsidR="00F974FE" w:rsidRPr="00A204DD">
        <w:rPr>
          <w:rFonts w:ascii="Arial" w:hAnsi="Arial" w:cs="Arial"/>
          <w:i/>
          <w:sz w:val="18"/>
          <w:szCs w:val="18"/>
        </w:rPr>
        <w:t xml:space="preserve">se the appropriate route (oral if the patient is able; IV when necessary). </w:t>
      </w:r>
    </w:p>
    <w:p w:rsidR="00A204DD" w:rsidRPr="007D3FD0" w:rsidRDefault="0072696F" w:rsidP="00A204DD">
      <w:pPr>
        <w:pStyle w:val="Default"/>
        <w:tabs>
          <w:tab w:val="left" w:pos="540"/>
        </w:tabs>
        <w:spacing w:after="120"/>
        <w:ind w:hanging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Oral rehydration therapy works well and is the first choice for mild to moderate dehydration</w:t>
      </w:r>
      <w:r w:rsidR="008008D1">
        <w:rPr>
          <w:rFonts w:ascii="Arial" w:hAnsi="Arial" w:cs="Arial"/>
          <w:sz w:val="20"/>
          <w:szCs w:val="20"/>
          <w:vertAlign w:val="superscript"/>
        </w:rPr>
        <w:t>i</w:t>
      </w:r>
      <w:r>
        <w:rPr>
          <w:rFonts w:ascii="Arial" w:hAnsi="Arial" w:cs="Arial"/>
          <w:sz w:val="20"/>
          <w:szCs w:val="20"/>
        </w:rPr>
        <w:t>.</w:t>
      </w:r>
    </w:p>
    <w:p w:rsidR="00F974FE" w:rsidRPr="006A5394" w:rsidRDefault="00F974FE" w:rsidP="006A5394">
      <w:pPr>
        <w:pStyle w:val="Default"/>
        <w:tabs>
          <w:tab w:val="left" w:pos="270"/>
          <w:tab w:val="left" w:pos="5089"/>
        </w:tabs>
        <w:spacing w:after="120"/>
        <w:ind w:hanging="274"/>
        <w:rPr>
          <w:rFonts w:ascii="Arial" w:hAnsi="Arial" w:cs="Arial"/>
          <w:i/>
          <w:sz w:val="18"/>
          <w:szCs w:val="18"/>
        </w:rPr>
      </w:pPr>
      <w:r w:rsidRPr="006A5394">
        <w:rPr>
          <w:rFonts w:ascii="Arial" w:hAnsi="Arial" w:cs="Arial"/>
          <w:i/>
          <w:sz w:val="18"/>
          <w:szCs w:val="18"/>
        </w:rPr>
        <w:t xml:space="preserve">4 </w:t>
      </w:r>
      <w:r w:rsidRPr="006A5394">
        <w:rPr>
          <w:rFonts w:ascii="Arial" w:hAnsi="Arial" w:cs="Arial"/>
          <w:i/>
          <w:sz w:val="18"/>
          <w:szCs w:val="18"/>
        </w:rPr>
        <w:tab/>
        <w:t xml:space="preserve">When treating severe dehydration, use objective measures (e.g., lab values) to direct ongoing management. </w:t>
      </w:r>
    </w:p>
    <w:p w:rsidR="00DC60DF" w:rsidRPr="00DC60DF" w:rsidRDefault="00DC60DF" w:rsidP="00DC60DF">
      <w:pPr>
        <w:pStyle w:val="Default"/>
        <w:tabs>
          <w:tab w:val="left" w:pos="540"/>
        </w:tabs>
        <w:spacing w:after="120"/>
        <w:ind w:hanging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severe dehydration, s</w:t>
      </w:r>
      <w:r w:rsidRPr="00DC60DF">
        <w:rPr>
          <w:rFonts w:ascii="Arial" w:hAnsi="Arial" w:cs="Arial"/>
          <w:sz w:val="20"/>
          <w:szCs w:val="20"/>
        </w:rPr>
        <w:t>erum electrolytes, bicarbonate, blood urea nitrogen, creatinine, and serum glucose levels should be obtained</w:t>
      </w:r>
      <w:r w:rsidR="004D4AC5">
        <w:rPr>
          <w:rStyle w:val="EndnoteReference"/>
          <w:rFonts w:ascii="Arial" w:hAnsi="Arial" w:cs="Arial"/>
          <w:sz w:val="20"/>
          <w:szCs w:val="20"/>
        </w:rPr>
        <w:endnoteReference w:id="4"/>
      </w:r>
      <w:r>
        <w:rPr>
          <w:rFonts w:ascii="Arial" w:hAnsi="Arial" w:cs="Arial"/>
          <w:sz w:val="20"/>
          <w:szCs w:val="20"/>
        </w:rPr>
        <w:t>. This should not delay care.</w:t>
      </w:r>
    </w:p>
    <w:p w:rsidR="00F974FE" w:rsidRPr="006A5394" w:rsidRDefault="006A5394" w:rsidP="00DC60DF">
      <w:pPr>
        <w:pStyle w:val="Default"/>
        <w:tabs>
          <w:tab w:val="left" w:pos="270"/>
          <w:tab w:val="left" w:pos="5089"/>
        </w:tabs>
        <w:spacing w:after="120"/>
        <w:ind w:hanging="27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5a</w:t>
      </w:r>
      <w:r w:rsidR="00F974FE" w:rsidRPr="006A5394">
        <w:rPr>
          <w:rFonts w:ascii="Arial" w:hAnsi="Arial" w:cs="Arial"/>
          <w:i/>
          <w:sz w:val="18"/>
          <w:szCs w:val="18"/>
        </w:rPr>
        <w:tab/>
        <w:t xml:space="preserve">In a dehydrated patient, </w:t>
      </w:r>
      <w:r>
        <w:rPr>
          <w:rFonts w:ascii="Arial" w:hAnsi="Arial" w:cs="Arial"/>
          <w:i/>
          <w:sz w:val="18"/>
          <w:szCs w:val="18"/>
        </w:rPr>
        <w:t>i</w:t>
      </w:r>
      <w:r w:rsidR="00F974FE" w:rsidRPr="006A5394">
        <w:rPr>
          <w:rFonts w:ascii="Arial" w:hAnsi="Arial" w:cs="Arial"/>
          <w:i/>
          <w:sz w:val="18"/>
          <w:szCs w:val="18"/>
        </w:rPr>
        <w:t xml:space="preserve">dentify the precipitating illness or cause, especially looking for non-gastro-intestinal, including drug-related, causes, </w:t>
      </w:r>
    </w:p>
    <w:p w:rsidR="004D4AC5" w:rsidRDefault="004D4AC5" w:rsidP="006A5394">
      <w:pPr>
        <w:pStyle w:val="Default"/>
        <w:tabs>
          <w:tab w:val="left" w:pos="540"/>
        </w:tabs>
        <w:spacing w:after="120"/>
        <w:ind w:hanging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instance, cognitive impairment, impaired thirst mechanisms, sepsis and diuretics may all cause dehydration</w:t>
      </w:r>
      <w:r w:rsidR="008008D1" w:rsidRPr="008008D1">
        <w:rPr>
          <w:rFonts w:ascii="Arial" w:hAnsi="Arial" w:cs="Arial"/>
          <w:sz w:val="20"/>
          <w:szCs w:val="20"/>
          <w:vertAlign w:val="superscript"/>
        </w:rPr>
        <w:t>iii</w:t>
      </w:r>
      <w:r>
        <w:rPr>
          <w:rFonts w:ascii="Arial" w:hAnsi="Arial" w:cs="Arial"/>
          <w:sz w:val="20"/>
          <w:szCs w:val="20"/>
        </w:rPr>
        <w:t>.</w:t>
      </w:r>
    </w:p>
    <w:p w:rsidR="00F974FE" w:rsidRPr="006A5394" w:rsidRDefault="006A5394" w:rsidP="006A5394">
      <w:pPr>
        <w:pStyle w:val="Default"/>
        <w:tabs>
          <w:tab w:val="left" w:pos="270"/>
          <w:tab w:val="left" w:pos="5089"/>
        </w:tabs>
        <w:spacing w:after="120"/>
        <w:ind w:hanging="27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5b</w:t>
      </w:r>
      <w:r w:rsidRPr="006A5394">
        <w:rPr>
          <w:rFonts w:ascii="Arial" w:hAnsi="Arial" w:cs="Arial"/>
          <w:i/>
          <w:sz w:val="18"/>
          <w:szCs w:val="18"/>
        </w:rPr>
        <w:tab/>
        <w:t xml:space="preserve">In a dehydrated patient, </w:t>
      </w:r>
      <w:r>
        <w:rPr>
          <w:rFonts w:ascii="Arial" w:hAnsi="Arial" w:cs="Arial"/>
          <w:i/>
          <w:sz w:val="18"/>
          <w:szCs w:val="18"/>
        </w:rPr>
        <w:t>t</w:t>
      </w:r>
      <w:r w:rsidR="00F974FE" w:rsidRPr="006A5394">
        <w:rPr>
          <w:rFonts w:ascii="Arial" w:hAnsi="Arial" w:cs="Arial"/>
          <w:i/>
          <w:sz w:val="18"/>
          <w:szCs w:val="18"/>
        </w:rPr>
        <w:t xml:space="preserve">reat the precipitating illness concurrently. </w:t>
      </w:r>
    </w:p>
    <w:p w:rsidR="006A5394" w:rsidRPr="006A5394" w:rsidRDefault="004D4AC5" w:rsidP="006A5394">
      <w:pPr>
        <w:pStyle w:val="Default"/>
        <w:tabs>
          <w:tab w:val="left" w:pos="540"/>
        </w:tabs>
        <w:spacing w:after="120"/>
        <w:ind w:hanging="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Nephrologists should only look at the dehydration, while decisions about the diuretics should be left to the cardiologist, and no antibiotics should be prescribed without an ID consult.</w:t>
      </w:r>
    </w:p>
    <w:p w:rsidR="00F974FE" w:rsidRPr="004B5057" w:rsidRDefault="00F974FE" w:rsidP="004B5057">
      <w:pPr>
        <w:pStyle w:val="Default"/>
        <w:tabs>
          <w:tab w:val="left" w:pos="270"/>
          <w:tab w:val="left" w:pos="5089"/>
        </w:tabs>
        <w:spacing w:after="120"/>
        <w:ind w:hanging="274"/>
        <w:rPr>
          <w:rFonts w:ascii="Arial" w:hAnsi="Arial" w:cs="Arial"/>
          <w:i/>
          <w:sz w:val="18"/>
          <w:szCs w:val="18"/>
        </w:rPr>
      </w:pPr>
      <w:r w:rsidRPr="004B5057">
        <w:rPr>
          <w:rFonts w:ascii="Arial" w:hAnsi="Arial" w:cs="Arial"/>
          <w:i/>
          <w:sz w:val="18"/>
          <w:szCs w:val="18"/>
        </w:rPr>
        <w:t xml:space="preserve">6 </w:t>
      </w:r>
      <w:r w:rsidRPr="004B5057">
        <w:rPr>
          <w:rFonts w:ascii="Arial" w:hAnsi="Arial" w:cs="Arial"/>
          <w:i/>
          <w:sz w:val="18"/>
          <w:szCs w:val="18"/>
        </w:rPr>
        <w:tab/>
        <w:t xml:space="preserve">Treat the dehydrated pregnant patient aggressively, as there are additional risks of dehydration in pregnancy. </w:t>
      </w:r>
    </w:p>
    <w:p w:rsidR="0007767B" w:rsidRPr="007D3FD0" w:rsidRDefault="009E774C" w:rsidP="008D1555">
      <w:pPr>
        <w:pStyle w:val="Default"/>
        <w:tabs>
          <w:tab w:val="left" w:pos="5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During pregnancy, decreased systemic vascular resistance, in</w:t>
      </w:r>
      <w:r w:rsidR="008D1555">
        <w:rPr>
          <w:rFonts w:ascii="Arial" w:hAnsi="Arial" w:cs="Arial"/>
          <w:sz w:val="20"/>
          <w:szCs w:val="20"/>
        </w:rPr>
        <w:t>creased venous pooling, changes in respiratory physiology and the presence of two rather than one patients makes the prompt treatment of dehydration imperative</w:t>
      </w:r>
      <w:r>
        <w:rPr>
          <w:rStyle w:val="EndnoteReference"/>
          <w:rFonts w:ascii="Arial" w:hAnsi="Arial" w:cs="Arial"/>
          <w:sz w:val="20"/>
          <w:szCs w:val="20"/>
        </w:rPr>
        <w:endnoteReference w:id="5"/>
      </w:r>
      <w:r w:rsidR="00FC05F0">
        <w:rPr>
          <w:rFonts w:ascii="Arial" w:hAnsi="Arial" w:cs="Arial"/>
          <w:sz w:val="20"/>
          <w:szCs w:val="20"/>
        </w:rPr>
        <w:t>.</w:t>
      </w:r>
    </w:p>
    <w:sectPr w:rsidR="0007767B" w:rsidRPr="007D3FD0" w:rsidSect="008D1555">
      <w:type w:val="continuous"/>
      <w:pgSz w:w="12240" w:h="15840"/>
      <w:pgMar w:top="864" w:right="864" w:bottom="864" w:left="864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79C" w:rsidRDefault="00E1679C" w:rsidP="008E126E">
      <w:pPr>
        <w:spacing w:after="0" w:line="240" w:lineRule="auto"/>
      </w:pPr>
      <w:r>
        <w:separator/>
      </w:r>
    </w:p>
  </w:endnote>
  <w:endnote w:type="continuationSeparator" w:id="0">
    <w:p w:rsidR="00E1679C" w:rsidRDefault="00E1679C" w:rsidP="008E126E">
      <w:pPr>
        <w:spacing w:after="0" w:line="240" w:lineRule="auto"/>
      </w:pPr>
      <w:r>
        <w:continuationSeparator/>
      </w:r>
    </w:p>
  </w:endnote>
  <w:endnote w:id="1">
    <w:p w:rsidR="00A204DD" w:rsidRPr="008D1555" w:rsidRDefault="00A204DD" w:rsidP="008D1555">
      <w:pPr>
        <w:tabs>
          <w:tab w:val="left" w:pos="270"/>
        </w:tabs>
        <w:spacing w:after="0" w:line="240" w:lineRule="auto"/>
        <w:rPr>
          <w:rFonts w:ascii="Arial Narrow" w:eastAsia="Times New Roman" w:hAnsi="Arial Narrow" w:cs="Arial"/>
          <w:color w:val="333333"/>
          <w:sz w:val="2"/>
          <w:szCs w:val="2"/>
          <w:lang w:val="en-US"/>
        </w:rPr>
      </w:pPr>
      <w:r w:rsidRPr="008D1555">
        <w:rPr>
          <w:rStyle w:val="EndnoteReference"/>
          <w:rFonts w:ascii="Arial Narrow" w:hAnsi="Arial Narrow" w:cs="Arial"/>
          <w:sz w:val="16"/>
          <w:szCs w:val="18"/>
        </w:rPr>
        <w:endnoteRef/>
      </w:r>
      <w:r w:rsidRPr="008D1555">
        <w:rPr>
          <w:rFonts w:ascii="Arial Narrow" w:hAnsi="Arial Narrow" w:cs="Arial"/>
          <w:sz w:val="16"/>
          <w:szCs w:val="18"/>
        </w:rPr>
        <w:t xml:space="preserve"> </w:t>
      </w:r>
      <w:r w:rsidRPr="008D1555">
        <w:rPr>
          <w:rFonts w:ascii="Arial Narrow" w:eastAsia="Times New Roman" w:hAnsi="Arial Narrow" w:cs="Arial"/>
          <w:color w:val="333333"/>
          <w:sz w:val="16"/>
          <w:szCs w:val="18"/>
          <w:lang w:val="en-US"/>
        </w:rPr>
        <w:t xml:space="preserve">BC </w:t>
      </w:r>
      <w:r w:rsidR="0072696F" w:rsidRPr="008D1555">
        <w:rPr>
          <w:rFonts w:ascii="Arial Narrow" w:eastAsia="Times New Roman" w:hAnsi="Arial Narrow" w:cs="Arial"/>
          <w:color w:val="333333"/>
          <w:sz w:val="16"/>
          <w:szCs w:val="18"/>
          <w:lang w:val="en-US"/>
        </w:rPr>
        <w:t>Guidelines and Protocols Advisory Committee. Oral Rehydration Therapy. 2010</w:t>
      </w:r>
    </w:p>
    <w:p w:rsidR="00A204DD" w:rsidRPr="008D1555" w:rsidRDefault="00A204DD" w:rsidP="008D1555">
      <w:pPr>
        <w:pStyle w:val="EndnoteText"/>
        <w:rPr>
          <w:rFonts w:ascii="Arial Narrow" w:hAnsi="Arial Narrow" w:cs="Arial"/>
          <w:b/>
          <w:sz w:val="2"/>
          <w:szCs w:val="2"/>
          <w:lang w:val="en-US"/>
        </w:rPr>
      </w:pPr>
    </w:p>
  </w:endnote>
  <w:endnote w:id="2">
    <w:p w:rsidR="008E126E" w:rsidRPr="008D1555" w:rsidRDefault="008E126E" w:rsidP="008D1555">
      <w:pPr>
        <w:tabs>
          <w:tab w:val="left" w:pos="270"/>
        </w:tabs>
        <w:spacing w:after="0" w:line="240" w:lineRule="auto"/>
        <w:rPr>
          <w:rFonts w:ascii="Arial Narrow" w:eastAsia="Times New Roman" w:hAnsi="Arial Narrow" w:cs="Arial"/>
          <w:color w:val="333333"/>
          <w:sz w:val="2"/>
          <w:szCs w:val="2"/>
          <w:lang w:val="en-US"/>
        </w:rPr>
      </w:pPr>
      <w:r w:rsidRPr="008008D1">
        <w:rPr>
          <w:rFonts w:ascii="Arial Narrow" w:eastAsia="Times New Roman" w:hAnsi="Arial Narrow" w:cs="Arial"/>
          <w:color w:val="333333"/>
          <w:sz w:val="16"/>
          <w:szCs w:val="18"/>
          <w:vertAlign w:val="superscript"/>
          <w:lang w:val="en-US"/>
        </w:rPr>
        <w:endnoteRef/>
      </w:r>
      <w:r w:rsidRPr="008D1555">
        <w:rPr>
          <w:rFonts w:ascii="Arial Narrow" w:eastAsia="Times New Roman" w:hAnsi="Arial Narrow" w:cs="Arial"/>
          <w:color w:val="333333"/>
          <w:sz w:val="16"/>
          <w:szCs w:val="18"/>
          <w:lang w:val="en-US"/>
        </w:rPr>
        <w:t xml:space="preserve"> World Gastroenterology Organisation (WGO). WGO practice guideline: acute diarrhea. Munich, Germany: World Gastroenterology Organisation (WGO); 2008 Mar. 28 p</w:t>
      </w:r>
    </w:p>
    <w:p w:rsidR="008E126E" w:rsidRPr="008D1555" w:rsidRDefault="008E126E" w:rsidP="008D1555">
      <w:pPr>
        <w:tabs>
          <w:tab w:val="left" w:pos="270"/>
        </w:tabs>
        <w:spacing w:after="0" w:line="240" w:lineRule="auto"/>
        <w:rPr>
          <w:rFonts w:ascii="Arial Narrow" w:eastAsia="Times New Roman" w:hAnsi="Arial Narrow" w:cs="Arial"/>
          <w:color w:val="333333"/>
          <w:sz w:val="2"/>
          <w:szCs w:val="2"/>
          <w:lang w:val="en-US"/>
        </w:rPr>
      </w:pPr>
    </w:p>
  </w:endnote>
  <w:endnote w:id="3">
    <w:p w:rsidR="00A204DD" w:rsidRPr="008D1555" w:rsidRDefault="00A204DD" w:rsidP="008D1555">
      <w:pPr>
        <w:tabs>
          <w:tab w:val="left" w:pos="270"/>
        </w:tabs>
        <w:spacing w:after="0" w:line="240" w:lineRule="auto"/>
        <w:rPr>
          <w:rFonts w:ascii="Arial Narrow" w:eastAsia="Times New Roman" w:hAnsi="Arial Narrow" w:cs="Arial"/>
          <w:color w:val="333333"/>
          <w:sz w:val="2"/>
          <w:szCs w:val="2"/>
          <w:lang w:val="en-US"/>
        </w:rPr>
      </w:pPr>
      <w:r w:rsidRPr="008008D1">
        <w:rPr>
          <w:rFonts w:ascii="Arial Narrow" w:eastAsia="Times New Roman" w:hAnsi="Arial Narrow" w:cs="Arial"/>
          <w:color w:val="333333"/>
          <w:sz w:val="16"/>
          <w:szCs w:val="18"/>
          <w:vertAlign w:val="superscript"/>
          <w:lang w:val="en-US"/>
        </w:rPr>
        <w:endnoteRef/>
      </w:r>
      <w:r w:rsidRPr="008D1555">
        <w:rPr>
          <w:rFonts w:ascii="Arial Narrow" w:eastAsia="Times New Roman" w:hAnsi="Arial Narrow" w:cs="Arial"/>
          <w:color w:val="333333"/>
          <w:sz w:val="16"/>
          <w:szCs w:val="18"/>
          <w:lang w:val="en-US"/>
        </w:rPr>
        <w:t xml:space="preserve"> American Medical Directors Association (AMDA). Dehydration and fluid maintenance in the long-term care setting. Columbia (MD): American Medical Directors Association (AMDA); 2009. 29 p. </w:t>
      </w:r>
    </w:p>
    <w:p w:rsidR="00A204DD" w:rsidRPr="008D1555" w:rsidRDefault="00A204DD" w:rsidP="008D1555">
      <w:pPr>
        <w:tabs>
          <w:tab w:val="left" w:pos="270"/>
        </w:tabs>
        <w:spacing w:after="0" w:line="240" w:lineRule="auto"/>
        <w:rPr>
          <w:rFonts w:ascii="Arial Narrow" w:eastAsia="Times New Roman" w:hAnsi="Arial Narrow" w:cs="Arial"/>
          <w:color w:val="333333"/>
          <w:sz w:val="2"/>
          <w:szCs w:val="2"/>
          <w:lang w:val="en-US"/>
        </w:rPr>
      </w:pPr>
    </w:p>
  </w:endnote>
  <w:endnote w:id="4">
    <w:p w:rsidR="004D4AC5" w:rsidRPr="008D1555" w:rsidRDefault="004D4AC5" w:rsidP="008D1555">
      <w:pPr>
        <w:tabs>
          <w:tab w:val="left" w:pos="270"/>
        </w:tabs>
        <w:spacing w:after="0" w:line="240" w:lineRule="auto"/>
        <w:rPr>
          <w:rFonts w:ascii="Arial Narrow" w:eastAsia="Times New Roman" w:hAnsi="Arial Narrow"/>
          <w:color w:val="333333"/>
          <w:sz w:val="2"/>
          <w:szCs w:val="2"/>
          <w:lang w:val="en-US"/>
        </w:rPr>
      </w:pPr>
      <w:r w:rsidRPr="008D1555">
        <w:rPr>
          <w:rStyle w:val="EndnoteReference"/>
          <w:rFonts w:ascii="Arial Narrow" w:hAnsi="Arial Narrow" w:cs="Arial"/>
          <w:sz w:val="16"/>
          <w:szCs w:val="18"/>
        </w:rPr>
        <w:endnoteRef/>
      </w:r>
      <w:r w:rsidRPr="008D1555">
        <w:rPr>
          <w:rFonts w:ascii="Arial Narrow" w:hAnsi="Arial Narrow" w:cs="Arial"/>
          <w:sz w:val="16"/>
          <w:szCs w:val="18"/>
        </w:rPr>
        <w:t xml:space="preserve"> </w:t>
      </w:r>
      <w:r w:rsidRPr="008D1555">
        <w:rPr>
          <w:rFonts w:ascii="Arial Narrow" w:eastAsia="Times New Roman" w:hAnsi="Arial Narrow" w:cs="Arial"/>
          <w:color w:val="333333"/>
          <w:sz w:val="16"/>
          <w:szCs w:val="18"/>
          <w:lang w:val="en-US"/>
        </w:rPr>
        <w:t>Centers for Disease Control and Prevention. Managing Acute Gastroenteritis Among Children: Oral Rehydration, Maintenance, and Nutritional Therapy. 2003</w:t>
      </w:r>
      <w:r w:rsidRPr="008D1555">
        <w:rPr>
          <w:rFonts w:ascii="Arial Narrow" w:eastAsia="Times New Roman" w:hAnsi="Arial Narrow"/>
          <w:color w:val="333333"/>
          <w:lang w:val="en-US"/>
        </w:rPr>
        <w:t>.</w:t>
      </w:r>
    </w:p>
    <w:p w:rsidR="004D4AC5" w:rsidRPr="008D1555" w:rsidRDefault="004D4AC5" w:rsidP="008D1555">
      <w:pPr>
        <w:pStyle w:val="EndnoteText"/>
        <w:rPr>
          <w:rFonts w:ascii="Arial Narrow" w:hAnsi="Arial Narrow" w:cs="Arial"/>
          <w:sz w:val="2"/>
          <w:szCs w:val="2"/>
          <w:lang w:val="en-US"/>
        </w:rPr>
      </w:pPr>
    </w:p>
  </w:endnote>
  <w:endnote w:id="5">
    <w:p w:rsidR="009E774C" w:rsidRPr="008D1555" w:rsidRDefault="009E774C" w:rsidP="008D1555">
      <w:pPr>
        <w:tabs>
          <w:tab w:val="left" w:pos="270"/>
        </w:tabs>
        <w:spacing w:after="0" w:line="240" w:lineRule="auto"/>
        <w:rPr>
          <w:rFonts w:ascii="Arial Narrow" w:eastAsia="Times New Roman" w:hAnsi="Arial Narrow" w:cs="Arial"/>
          <w:color w:val="333333"/>
          <w:sz w:val="2"/>
          <w:szCs w:val="2"/>
          <w:lang w:val="en-US"/>
        </w:rPr>
      </w:pPr>
      <w:r w:rsidRPr="008008D1">
        <w:rPr>
          <w:rFonts w:ascii="Arial Narrow" w:eastAsia="Times New Roman" w:hAnsi="Arial Narrow" w:cs="Arial"/>
          <w:color w:val="333333"/>
          <w:sz w:val="16"/>
          <w:szCs w:val="18"/>
          <w:vertAlign w:val="superscript"/>
          <w:lang w:val="en-US"/>
        </w:rPr>
        <w:endnoteRef/>
      </w:r>
      <w:r w:rsidRPr="008D1555">
        <w:rPr>
          <w:rFonts w:ascii="Arial Narrow" w:eastAsia="Times New Roman" w:hAnsi="Arial Narrow" w:cs="Arial"/>
          <w:color w:val="333333"/>
          <w:sz w:val="16"/>
          <w:szCs w:val="18"/>
          <w:lang w:val="en-US"/>
        </w:rPr>
        <w:t xml:space="preserve"> M R </w:t>
      </w:r>
      <w:r w:rsidR="008D1555" w:rsidRPr="008D1555">
        <w:rPr>
          <w:rFonts w:ascii="Arial Narrow" w:eastAsia="Times New Roman" w:hAnsi="Arial Narrow" w:cs="Arial"/>
          <w:color w:val="333333"/>
          <w:sz w:val="16"/>
          <w:szCs w:val="18"/>
          <w:lang w:val="en-US"/>
        </w:rPr>
        <w:t>Baldisseri.</w:t>
      </w:r>
      <w:r w:rsidRPr="008D1555">
        <w:rPr>
          <w:rFonts w:ascii="Arial Narrow" w:eastAsia="Times New Roman" w:hAnsi="Arial Narrow" w:cs="Arial"/>
          <w:color w:val="333333"/>
          <w:sz w:val="16"/>
          <w:szCs w:val="18"/>
          <w:lang w:val="en-US"/>
        </w:rPr>
        <w:t xml:space="preserve"> Shock and Pregnancy</w:t>
      </w:r>
      <w:r w:rsidR="008D1555" w:rsidRPr="008D1555">
        <w:rPr>
          <w:rFonts w:ascii="Arial Narrow" w:eastAsia="Times New Roman" w:hAnsi="Arial Narrow" w:cs="Arial"/>
          <w:color w:val="333333"/>
          <w:sz w:val="16"/>
          <w:szCs w:val="18"/>
          <w:lang w:val="en-US"/>
        </w:rPr>
        <w:t>. Medscape. 2012</w:t>
      </w:r>
    </w:p>
    <w:p w:rsidR="009E774C" w:rsidRPr="008D1555" w:rsidRDefault="009E774C" w:rsidP="008D1555">
      <w:pPr>
        <w:pStyle w:val="EndnoteText"/>
        <w:rPr>
          <w:rFonts w:ascii="Arial Narrow" w:hAnsi="Arial Narrow" w:cs="Arial"/>
          <w:sz w:val="2"/>
          <w:szCs w:val="2"/>
          <w:lang w:val="en-US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79C" w:rsidRDefault="00E1679C" w:rsidP="008E126E">
      <w:pPr>
        <w:spacing w:after="0" w:line="240" w:lineRule="auto"/>
      </w:pPr>
      <w:r>
        <w:separator/>
      </w:r>
    </w:p>
  </w:footnote>
  <w:footnote w:type="continuationSeparator" w:id="0">
    <w:p w:rsidR="00E1679C" w:rsidRDefault="00E1679C" w:rsidP="008E1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795C"/>
    <w:multiLevelType w:val="hybridMultilevel"/>
    <w:tmpl w:val="818A2304"/>
    <w:lvl w:ilvl="0" w:tplc="CEBC80CC">
      <w:start w:val="5"/>
      <w:numFmt w:val="decimal"/>
      <w:lvlText w:val="%1"/>
      <w:lvlJc w:val="left"/>
      <w:pPr>
        <w:ind w:left="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">
    <w:nsid w:val="22945098"/>
    <w:multiLevelType w:val="multilevel"/>
    <w:tmpl w:val="2640B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8507EA"/>
    <w:multiLevelType w:val="hybridMultilevel"/>
    <w:tmpl w:val="A5C8923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85F19"/>
    <w:multiLevelType w:val="hybridMultilevel"/>
    <w:tmpl w:val="2CF07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4">
    <w:nsid w:val="3EE8151F"/>
    <w:multiLevelType w:val="hybridMultilevel"/>
    <w:tmpl w:val="74AEACE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674F2"/>
    <w:multiLevelType w:val="multilevel"/>
    <w:tmpl w:val="4E6AB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1553308"/>
    <w:multiLevelType w:val="multilevel"/>
    <w:tmpl w:val="EC1EC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7395A"/>
    <w:multiLevelType w:val="multilevel"/>
    <w:tmpl w:val="CD0C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67B"/>
    <w:rsid w:val="00000134"/>
    <w:rsid w:val="00052AD3"/>
    <w:rsid w:val="0007767B"/>
    <w:rsid w:val="00105CD8"/>
    <w:rsid w:val="0014744B"/>
    <w:rsid w:val="002E384B"/>
    <w:rsid w:val="0031410F"/>
    <w:rsid w:val="00357D41"/>
    <w:rsid w:val="003B5761"/>
    <w:rsid w:val="003D03AA"/>
    <w:rsid w:val="003E68F4"/>
    <w:rsid w:val="003F5849"/>
    <w:rsid w:val="004262DB"/>
    <w:rsid w:val="004B5057"/>
    <w:rsid w:val="004D4AC5"/>
    <w:rsid w:val="005F1243"/>
    <w:rsid w:val="006A5394"/>
    <w:rsid w:val="0072696F"/>
    <w:rsid w:val="007D0DF5"/>
    <w:rsid w:val="007D1897"/>
    <w:rsid w:val="007D3FD0"/>
    <w:rsid w:val="007D66BF"/>
    <w:rsid w:val="008008D1"/>
    <w:rsid w:val="00821739"/>
    <w:rsid w:val="008D1555"/>
    <w:rsid w:val="008E126E"/>
    <w:rsid w:val="008F549D"/>
    <w:rsid w:val="0090059E"/>
    <w:rsid w:val="009A1B55"/>
    <w:rsid w:val="009E163F"/>
    <w:rsid w:val="009E774C"/>
    <w:rsid w:val="009F6DF6"/>
    <w:rsid w:val="00A204DD"/>
    <w:rsid w:val="00A43124"/>
    <w:rsid w:val="00B142D2"/>
    <w:rsid w:val="00BD530C"/>
    <w:rsid w:val="00CC546C"/>
    <w:rsid w:val="00DB591E"/>
    <w:rsid w:val="00DC60DF"/>
    <w:rsid w:val="00DF7DD3"/>
    <w:rsid w:val="00E1679C"/>
    <w:rsid w:val="00F974FE"/>
    <w:rsid w:val="00FC05F0"/>
    <w:rsid w:val="00FC613B"/>
    <w:rsid w:val="00FF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4B"/>
  </w:style>
  <w:style w:type="paragraph" w:styleId="Heading1">
    <w:name w:val="heading 1"/>
    <w:basedOn w:val="Normal"/>
    <w:link w:val="Heading1Char"/>
    <w:uiPriority w:val="9"/>
    <w:qFormat/>
    <w:rsid w:val="009E7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76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105C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974FE"/>
    <w:rPr>
      <w:b/>
      <w:bCs/>
    </w:rPr>
  </w:style>
  <w:style w:type="character" w:customStyle="1" w:styleId="fthighlight1">
    <w:name w:val="ft_highlight1"/>
    <w:basedOn w:val="DefaultParagraphFont"/>
    <w:rsid w:val="00F974FE"/>
    <w:rPr>
      <w:shd w:val="clear" w:color="auto" w:fill="FFFF99"/>
    </w:rPr>
  </w:style>
  <w:style w:type="paragraph" w:customStyle="1" w:styleId="note1">
    <w:name w:val="note1"/>
    <w:basedOn w:val="Normal"/>
    <w:rsid w:val="00F974FE"/>
    <w:pPr>
      <w:spacing w:before="150" w:after="150" w:line="336" w:lineRule="auto"/>
    </w:pPr>
    <w:rPr>
      <w:rFonts w:ascii="Times New Roman" w:eastAsia="Times New Roman" w:hAnsi="Times New Roman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F974FE"/>
    <w:rPr>
      <w:i/>
      <w:iCs/>
    </w:rPr>
  </w:style>
  <w:style w:type="paragraph" w:customStyle="1" w:styleId="Pa1">
    <w:name w:val="Pa1"/>
    <w:basedOn w:val="Default"/>
    <w:next w:val="Default"/>
    <w:uiPriority w:val="99"/>
    <w:rsid w:val="007D3FD0"/>
    <w:pPr>
      <w:spacing w:line="161" w:lineRule="atLeast"/>
    </w:pPr>
    <w:rPr>
      <w:rFonts w:ascii="Helvetica 55 Roman" w:hAnsi="Helvetica 55 Roman" w:cstheme="minorBidi"/>
      <w:color w:val="auto"/>
      <w:lang w:val="en-US"/>
    </w:rPr>
  </w:style>
  <w:style w:type="character" w:customStyle="1" w:styleId="A2">
    <w:name w:val="A2"/>
    <w:uiPriority w:val="99"/>
    <w:rsid w:val="007D3FD0"/>
    <w:rPr>
      <w:rFonts w:cs="Helvetica 55 Roman"/>
      <w:color w:val="000000"/>
      <w:sz w:val="20"/>
      <w:szCs w:val="20"/>
    </w:rPr>
  </w:style>
  <w:style w:type="character" w:customStyle="1" w:styleId="A3">
    <w:name w:val="A3"/>
    <w:uiPriority w:val="99"/>
    <w:rsid w:val="007D3FD0"/>
    <w:rPr>
      <w:rFonts w:cs="Helvetica 55 Roman"/>
      <w:b/>
      <w:bCs/>
      <w:color w:val="000000"/>
      <w:sz w:val="11"/>
      <w:szCs w:val="11"/>
    </w:rPr>
  </w:style>
  <w:style w:type="paragraph" w:customStyle="1" w:styleId="Pa3">
    <w:name w:val="Pa3"/>
    <w:basedOn w:val="Default"/>
    <w:next w:val="Default"/>
    <w:uiPriority w:val="99"/>
    <w:rsid w:val="007D3FD0"/>
    <w:pPr>
      <w:spacing w:line="161" w:lineRule="atLeast"/>
    </w:pPr>
    <w:rPr>
      <w:rFonts w:ascii="Helvetica 55 Roman" w:hAnsi="Helvetica 55 Roman" w:cstheme="minorBidi"/>
      <w:color w:val="auto"/>
      <w:lang w:val="en-US"/>
    </w:rPr>
  </w:style>
  <w:style w:type="table" w:styleId="TableGrid">
    <w:name w:val="Table Grid"/>
    <w:basedOn w:val="TableNormal"/>
    <w:uiPriority w:val="59"/>
    <w:rsid w:val="007D3F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8E126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E126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E126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1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1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13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774C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7276">
              <w:marLeft w:val="0"/>
              <w:marRight w:val="0"/>
              <w:marTop w:val="0"/>
              <w:marBottom w:val="0"/>
              <w:divBdr>
                <w:top w:val="single" w:sz="6" w:space="0" w:color="336666"/>
                <w:left w:val="single" w:sz="6" w:space="0" w:color="336666"/>
                <w:bottom w:val="single" w:sz="6" w:space="0" w:color="336666"/>
                <w:right w:val="single" w:sz="6" w:space="0" w:color="336666"/>
              </w:divBdr>
              <w:divsChild>
                <w:div w:id="5940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331594">
                      <w:marLeft w:val="2175"/>
                      <w:marRight w:val="150"/>
                      <w:marTop w:val="0"/>
                      <w:marBottom w:val="0"/>
                      <w:divBdr>
                        <w:top w:val="single" w:sz="6" w:space="0" w:color="000066"/>
                        <w:left w:val="single" w:sz="6" w:space="0" w:color="000066"/>
                        <w:bottom w:val="single" w:sz="6" w:space="0" w:color="000066"/>
                        <w:right w:val="single" w:sz="6" w:space="0" w:color="000066"/>
                      </w:divBdr>
                      <w:divsChild>
                        <w:div w:id="818108010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958412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8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772">
              <w:marLeft w:val="0"/>
              <w:marRight w:val="0"/>
              <w:marTop w:val="0"/>
              <w:marBottom w:val="0"/>
              <w:divBdr>
                <w:top w:val="single" w:sz="6" w:space="0" w:color="336666"/>
                <w:left w:val="single" w:sz="6" w:space="0" w:color="336666"/>
                <w:bottom w:val="single" w:sz="6" w:space="0" w:color="336666"/>
                <w:right w:val="single" w:sz="6" w:space="0" w:color="336666"/>
              </w:divBdr>
              <w:divsChild>
                <w:div w:id="153558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4896">
                      <w:marLeft w:val="2175"/>
                      <w:marRight w:val="150"/>
                      <w:marTop w:val="0"/>
                      <w:marBottom w:val="0"/>
                      <w:divBdr>
                        <w:top w:val="single" w:sz="6" w:space="0" w:color="000066"/>
                        <w:left w:val="single" w:sz="6" w:space="0" w:color="000066"/>
                        <w:bottom w:val="single" w:sz="6" w:space="0" w:color="000066"/>
                        <w:right w:val="single" w:sz="6" w:space="0" w:color="000066"/>
                      </w:divBdr>
                      <w:divsChild>
                        <w:div w:id="171974307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69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853712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93">
              <w:marLeft w:val="0"/>
              <w:marRight w:val="0"/>
              <w:marTop w:val="0"/>
              <w:marBottom w:val="0"/>
              <w:divBdr>
                <w:top w:val="single" w:sz="6" w:space="0" w:color="336666"/>
                <w:left w:val="single" w:sz="6" w:space="0" w:color="336666"/>
                <w:bottom w:val="single" w:sz="6" w:space="0" w:color="336666"/>
                <w:right w:val="single" w:sz="6" w:space="0" w:color="336666"/>
              </w:divBdr>
              <w:divsChild>
                <w:div w:id="13304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7704">
                      <w:marLeft w:val="2175"/>
                      <w:marRight w:val="150"/>
                      <w:marTop w:val="0"/>
                      <w:marBottom w:val="0"/>
                      <w:divBdr>
                        <w:top w:val="single" w:sz="6" w:space="0" w:color="000066"/>
                        <w:left w:val="single" w:sz="6" w:space="0" w:color="000066"/>
                        <w:bottom w:val="single" w:sz="6" w:space="0" w:color="000066"/>
                        <w:right w:val="single" w:sz="6" w:space="0" w:color="000066"/>
                      </w:divBdr>
                      <w:divsChild>
                        <w:div w:id="1617251736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22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05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2131-9545-4F48-BB0C-AE8CF3AB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</dc:creator>
  <cp:lastModifiedBy>bwilliams</cp:lastModifiedBy>
  <cp:revision>8</cp:revision>
  <cp:lastPrinted>2012-02-07T23:30:00Z</cp:lastPrinted>
  <dcterms:created xsi:type="dcterms:W3CDTF">2012-02-07T00:21:00Z</dcterms:created>
  <dcterms:modified xsi:type="dcterms:W3CDTF">2012-02-08T00:08:00Z</dcterms:modified>
</cp:coreProperties>
</file>