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CA" w:rsidRPr="00723765" w:rsidRDefault="00040BCA" w:rsidP="00040BCA">
      <w:pPr>
        <w:widowControl w:val="0"/>
        <w:autoSpaceDE w:val="0"/>
        <w:autoSpaceDN w:val="0"/>
        <w:adjustRightInd w:val="0"/>
        <w:spacing w:before="120" w:after="60"/>
        <w:ind w:left="720" w:right="132" w:hanging="720"/>
        <w:rPr>
          <w:rFonts w:cs="Arial"/>
          <w:b/>
          <w:color w:val="000000"/>
          <w:szCs w:val="20"/>
          <w:lang w:bidi="en-US"/>
        </w:rPr>
      </w:pPr>
      <w:r w:rsidRPr="00723765">
        <w:rPr>
          <w:rFonts w:cs="Arial"/>
          <w:b/>
          <w:color w:val="000000"/>
          <w:szCs w:val="20"/>
          <w:lang w:bidi="en-US"/>
        </w:rPr>
        <w:t xml:space="preserve">1. In all patients with diarrhea, </w:t>
      </w:r>
    </w:p>
    <w:p w:rsidR="00040BCA" w:rsidRPr="00723765" w:rsidRDefault="00040BCA" w:rsidP="00040BCA">
      <w:pPr>
        <w:widowControl w:val="0"/>
        <w:autoSpaceDE w:val="0"/>
        <w:autoSpaceDN w:val="0"/>
        <w:adjustRightInd w:val="0"/>
        <w:spacing w:before="60"/>
        <w:ind w:left="720" w:right="132" w:hanging="450"/>
        <w:rPr>
          <w:rFonts w:cs="Arial"/>
          <w:b/>
          <w:color w:val="000000"/>
          <w:szCs w:val="20"/>
          <w:lang w:bidi="en-US"/>
        </w:rPr>
      </w:pPr>
      <w:r w:rsidRPr="00723765">
        <w:rPr>
          <w:rFonts w:cs="Arial"/>
          <w:b/>
          <w:color w:val="000000"/>
          <w:szCs w:val="20"/>
          <w:lang w:bidi="en-US"/>
        </w:rPr>
        <w:t>a) Determine hydration status:</w:t>
      </w:r>
    </w:p>
    <w:p w:rsidR="00040BCA" w:rsidRPr="00723765" w:rsidRDefault="00040BCA" w:rsidP="00040BCA">
      <w:pPr>
        <w:widowControl w:val="0"/>
        <w:autoSpaceDE w:val="0"/>
        <w:autoSpaceDN w:val="0"/>
        <w:adjustRightInd w:val="0"/>
        <w:spacing w:before="60"/>
        <w:ind w:left="720" w:right="132" w:hanging="450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-heart rate, BP, orthostatic vital signs, mucous membranes, skin turgor, urine output, capillary refill time, eyes, fontanelle (peds), production tears (peds)</w:t>
      </w:r>
    </w:p>
    <w:p w:rsidR="00040BCA" w:rsidRPr="00723765" w:rsidRDefault="00040BCA" w:rsidP="00040BCA">
      <w:pPr>
        <w:widowControl w:val="0"/>
        <w:autoSpaceDE w:val="0"/>
        <w:autoSpaceDN w:val="0"/>
        <w:adjustRightInd w:val="0"/>
        <w:spacing w:before="60"/>
        <w:ind w:left="720" w:right="132" w:hanging="450"/>
        <w:rPr>
          <w:rFonts w:cs="Arial"/>
          <w:b/>
          <w:color w:val="000000"/>
          <w:szCs w:val="20"/>
          <w:lang w:bidi="en-US"/>
        </w:rPr>
      </w:pPr>
      <w:r w:rsidRPr="00723765">
        <w:rPr>
          <w:rFonts w:cs="Arial"/>
          <w:b/>
          <w:color w:val="000000"/>
          <w:szCs w:val="20"/>
          <w:lang w:bidi="en-US"/>
        </w:rPr>
        <w:t xml:space="preserve">b) Treat dehydration appropriately. </w:t>
      </w:r>
    </w:p>
    <w:p w:rsidR="00040BCA" w:rsidRPr="00723765" w:rsidRDefault="00040BCA" w:rsidP="00040BCA">
      <w:pPr>
        <w:widowControl w:val="0"/>
        <w:autoSpaceDE w:val="0"/>
        <w:autoSpaceDN w:val="0"/>
        <w:adjustRightInd w:val="0"/>
        <w:spacing w:before="60"/>
        <w:ind w:left="720" w:right="132" w:hanging="450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-mild-moderate dehydration: trial of PO rehydration</w:t>
      </w:r>
    </w:p>
    <w:p w:rsidR="00040BCA" w:rsidRPr="00723765" w:rsidRDefault="00040BCA" w:rsidP="00040BCA">
      <w:pPr>
        <w:widowControl w:val="0"/>
        <w:autoSpaceDE w:val="0"/>
        <w:autoSpaceDN w:val="0"/>
        <w:adjustRightInd w:val="0"/>
        <w:ind w:left="720" w:right="132" w:hanging="450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-Severe or failure of PO rehdration: IV fluid therapy – NS or RL bolus</w:t>
      </w:r>
    </w:p>
    <w:p w:rsidR="00040BCA" w:rsidRPr="00723765" w:rsidRDefault="00040BCA" w:rsidP="00040BCA">
      <w:pPr>
        <w:widowControl w:val="0"/>
        <w:autoSpaceDE w:val="0"/>
        <w:autoSpaceDN w:val="0"/>
        <w:adjustRightInd w:val="0"/>
        <w:spacing w:before="240" w:after="60"/>
        <w:ind w:left="720" w:right="132" w:hanging="720"/>
        <w:rPr>
          <w:rFonts w:cs="Arial"/>
          <w:b/>
          <w:color w:val="000000"/>
          <w:szCs w:val="20"/>
          <w:lang w:bidi="en-US"/>
        </w:rPr>
      </w:pPr>
      <w:r w:rsidRPr="00723765">
        <w:rPr>
          <w:rFonts w:cs="Arial"/>
          <w:b/>
          <w:color w:val="000000"/>
          <w:szCs w:val="20"/>
          <w:lang w:bidi="en-US"/>
        </w:rPr>
        <w:t>2. In patients with acute diarrhea, use history to establish the possible etiology         Note: acute diarrhea is &lt;14days duration</w:t>
      </w:r>
    </w:p>
    <w:p w:rsidR="00040BCA" w:rsidRPr="00723765" w:rsidRDefault="00040BCA" w:rsidP="00040BCA">
      <w:pPr>
        <w:widowControl w:val="0"/>
        <w:tabs>
          <w:tab w:val="left" w:pos="450"/>
          <w:tab w:val="left" w:pos="1440"/>
          <w:tab w:val="left" w:pos="2816"/>
        </w:tabs>
        <w:autoSpaceDE w:val="0"/>
        <w:autoSpaceDN w:val="0"/>
        <w:adjustRightInd w:val="0"/>
        <w:ind w:left="180" w:right="132" w:hanging="180"/>
        <w:jc w:val="both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color w:val="000000"/>
          <w:szCs w:val="20"/>
          <w:lang w:bidi="en-US"/>
        </w:rPr>
        <w:tab/>
      </w:r>
      <w:r w:rsidRPr="00723765">
        <w:rPr>
          <w:rFonts w:cs="Arial"/>
          <w:b/>
          <w:i/>
          <w:color w:val="000000"/>
          <w:szCs w:val="20"/>
          <w:lang w:bidi="en-US"/>
        </w:rPr>
        <w:t>Infectious etiology</w:t>
      </w:r>
      <w:r w:rsidRPr="00723765">
        <w:rPr>
          <w:rFonts w:cs="Arial"/>
          <w:i/>
          <w:color w:val="000000"/>
          <w:szCs w:val="20"/>
          <w:lang w:bidi="en-US"/>
        </w:rPr>
        <w:t xml:space="preserve">: </w:t>
      </w:r>
    </w:p>
    <w:p w:rsidR="00040BCA" w:rsidRPr="00723765" w:rsidRDefault="00040BCA" w:rsidP="00040BCA">
      <w:pPr>
        <w:widowControl w:val="0"/>
        <w:numPr>
          <w:ilvl w:val="0"/>
          <w:numId w:val="1"/>
        </w:numPr>
        <w:tabs>
          <w:tab w:val="clear" w:pos="1440"/>
          <w:tab w:val="left" w:pos="450"/>
          <w:tab w:val="num" w:pos="990"/>
          <w:tab w:val="left" w:pos="2816"/>
        </w:tabs>
        <w:autoSpaceDE w:val="0"/>
        <w:autoSpaceDN w:val="0"/>
        <w:adjustRightInd w:val="0"/>
        <w:ind w:left="990" w:right="132" w:hanging="450"/>
        <w:jc w:val="both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Bacterial: shigella, salmonella, campylobacter, yersinia, ecoli, clostridium, vibrio, staph aureus, bacillus cereus</w:t>
      </w:r>
    </w:p>
    <w:p w:rsidR="00040BCA" w:rsidRPr="00723765" w:rsidRDefault="00040BCA" w:rsidP="00040BCA">
      <w:pPr>
        <w:widowControl w:val="0"/>
        <w:numPr>
          <w:ilvl w:val="0"/>
          <w:numId w:val="1"/>
        </w:numPr>
        <w:tabs>
          <w:tab w:val="clear" w:pos="1440"/>
          <w:tab w:val="left" w:pos="450"/>
          <w:tab w:val="num" w:pos="990"/>
          <w:tab w:val="left" w:pos="2816"/>
        </w:tabs>
        <w:autoSpaceDE w:val="0"/>
        <w:autoSpaceDN w:val="0"/>
        <w:adjustRightInd w:val="0"/>
        <w:ind w:left="990" w:right="132" w:hanging="450"/>
        <w:jc w:val="both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Viral: norovirus, rotavirus, adenovirus, CMV, HSV</w:t>
      </w:r>
    </w:p>
    <w:p w:rsidR="00040BCA" w:rsidRPr="00723765" w:rsidRDefault="00040BCA" w:rsidP="00040BCA">
      <w:pPr>
        <w:widowControl w:val="0"/>
        <w:numPr>
          <w:ilvl w:val="0"/>
          <w:numId w:val="1"/>
        </w:numPr>
        <w:tabs>
          <w:tab w:val="clear" w:pos="1440"/>
          <w:tab w:val="left" w:pos="450"/>
          <w:tab w:val="num" w:pos="990"/>
          <w:tab w:val="left" w:pos="2816"/>
        </w:tabs>
        <w:autoSpaceDE w:val="0"/>
        <w:autoSpaceDN w:val="0"/>
        <w:adjustRightInd w:val="0"/>
        <w:ind w:left="990" w:right="132" w:hanging="450"/>
        <w:jc w:val="both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Parasitic: cryptosporidium, microsporidia, entamoeba histolytica, giardia lamblia, cyclospora</w:t>
      </w:r>
    </w:p>
    <w:p w:rsidR="00040BCA" w:rsidRPr="00723765" w:rsidRDefault="00040BCA" w:rsidP="00040BCA">
      <w:pPr>
        <w:widowControl w:val="0"/>
        <w:tabs>
          <w:tab w:val="left" w:pos="180"/>
          <w:tab w:val="left" w:pos="1440"/>
          <w:tab w:val="left" w:pos="2816"/>
        </w:tabs>
        <w:autoSpaceDE w:val="0"/>
        <w:autoSpaceDN w:val="0"/>
        <w:adjustRightInd w:val="0"/>
        <w:ind w:left="450" w:right="132" w:hanging="450"/>
        <w:jc w:val="both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ab/>
      </w:r>
      <w:r w:rsidRPr="00723765">
        <w:rPr>
          <w:rFonts w:cs="Arial"/>
          <w:b/>
          <w:i/>
          <w:color w:val="000000"/>
          <w:szCs w:val="20"/>
          <w:lang w:bidi="en-US"/>
        </w:rPr>
        <w:t xml:space="preserve">Medications:  </w:t>
      </w:r>
      <w:r w:rsidRPr="00723765">
        <w:rPr>
          <w:rFonts w:cs="Arial"/>
          <w:i/>
          <w:color w:val="000000"/>
          <w:szCs w:val="20"/>
          <w:lang w:bidi="en-US"/>
        </w:rPr>
        <w:t>Antibiotics, colchicine, laxatives, magnesium containing antacids</w:t>
      </w:r>
    </w:p>
    <w:p w:rsidR="00040BCA" w:rsidRPr="00723765" w:rsidRDefault="00040BCA" w:rsidP="00040BCA">
      <w:pPr>
        <w:widowControl w:val="0"/>
        <w:tabs>
          <w:tab w:val="left" w:pos="180"/>
          <w:tab w:val="left" w:pos="672"/>
          <w:tab w:val="left" w:pos="1440"/>
          <w:tab w:val="left" w:pos="2816"/>
        </w:tabs>
        <w:autoSpaceDE w:val="0"/>
        <w:autoSpaceDN w:val="0"/>
        <w:adjustRightInd w:val="0"/>
        <w:ind w:left="450" w:right="132" w:hanging="450"/>
        <w:jc w:val="both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ab/>
      </w:r>
      <w:r w:rsidRPr="00723765">
        <w:rPr>
          <w:rFonts w:cs="Arial"/>
          <w:b/>
          <w:i/>
          <w:color w:val="000000"/>
          <w:szCs w:val="20"/>
          <w:lang w:bidi="en-US"/>
        </w:rPr>
        <w:t xml:space="preserve">Food Intolerance: </w:t>
      </w:r>
      <w:r w:rsidRPr="00723765">
        <w:rPr>
          <w:rFonts w:cs="Arial"/>
          <w:i/>
          <w:color w:val="000000"/>
          <w:szCs w:val="20"/>
          <w:lang w:bidi="en-US"/>
        </w:rPr>
        <w:t>Lactose, fructose in soft drinks, sorbital, coffee</w:t>
      </w:r>
    </w:p>
    <w:p w:rsidR="00040BCA" w:rsidRPr="00723765" w:rsidRDefault="00040BCA" w:rsidP="00040BCA">
      <w:pPr>
        <w:widowControl w:val="0"/>
        <w:tabs>
          <w:tab w:val="left" w:pos="180"/>
          <w:tab w:val="left" w:pos="1440"/>
          <w:tab w:val="left" w:pos="2816"/>
        </w:tabs>
        <w:autoSpaceDE w:val="0"/>
        <w:autoSpaceDN w:val="0"/>
        <w:adjustRightInd w:val="0"/>
        <w:ind w:left="450" w:right="132" w:hanging="450"/>
        <w:jc w:val="both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ab/>
      </w:r>
      <w:r w:rsidRPr="00723765">
        <w:rPr>
          <w:rFonts w:cs="Arial"/>
          <w:b/>
          <w:i/>
          <w:color w:val="000000"/>
          <w:szCs w:val="20"/>
          <w:lang w:bidi="en-US"/>
        </w:rPr>
        <w:t xml:space="preserve">Intestinal Diseases (acute episodes): </w:t>
      </w:r>
      <w:r w:rsidRPr="00723765">
        <w:rPr>
          <w:rFonts w:cs="Arial"/>
          <w:i/>
          <w:color w:val="000000"/>
          <w:szCs w:val="20"/>
          <w:lang w:bidi="en-US"/>
        </w:rPr>
        <w:t>Celiac, inflammatory bowel dz</w:t>
      </w:r>
    </w:p>
    <w:p w:rsidR="00040BCA" w:rsidRPr="00723765" w:rsidRDefault="00040BCA" w:rsidP="00040BCA">
      <w:pPr>
        <w:widowControl w:val="0"/>
        <w:tabs>
          <w:tab w:val="left" w:pos="180"/>
          <w:tab w:val="left" w:pos="1440"/>
          <w:tab w:val="left" w:pos="2816"/>
        </w:tabs>
        <w:autoSpaceDE w:val="0"/>
        <w:autoSpaceDN w:val="0"/>
        <w:adjustRightInd w:val="0"/>
        <w:ind w:left="450" w:right="132" w:hanging="450"/>
        <w:jc w:val="both"/>
        <w:rPr>
          <w:rFonts w:cs="Arial"/>
          <w:b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ab/>
      </w:r>
      <w:r w:rsidRPr="00723765">
        <w:rPr>
          <w:rFonts w:cs="Arial"/>
          <w:b/>
          <w:i/>
          <w:color w:val="000000"/>
          <w:szCs w:val="20"/>
          <w:lang w:bidi="en-US"/>
        </w:rPr>
        <w:t>Clues from hx regarding specific cause:</w:t>
      </w:r>
    </w:p>
    <w:p w:rsidR="00040BCA" w:rsidRPr="00723765" w:rsidRDefault="00040BCA" w:rsidP="00040BCA">
      <w:pPr>
        <w:widowControl w:val="0"/>
        <w:numPr>
          <w:ilvl w:val="0"/>
          <w:numId w:val="2"/>
        </w:numPr>
        <w:tabs>
          <w:tab w:val="clear" w:pos="1440"/>
          <w:tab w:val="left" w:pos="450"/>
          <w:tab w:val="num" w:pos="810"/>
          <w:tab w:val="left" w:pos="2816"/>
        </w:tabs>
        <w:autoSpaceDE w:val="0"/>
        <w:autoSpaceDN w:val="0"/>
        <w:adjustRightInd w:val="0"/>
        <w:ind w:left="810" w:right="132"/>
        <w:jc w:val="both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presence of fever, bloody diarrhea and tenesmes suggest inflammatory diarrhea (eg. Shigella, salmonella, campylobacter, c diff colitis or IBD)</w:t>
      </w:r>
    </w:p>
    <w:p w:rsidR="00040BCA" w:rsidRPr="00723765" w:rsidRDefault="00040BCA" w:rsidP="00040BCA">
      <w:pPr>
        <w:widowControl w:val="0"/>
        <w:numPr>
          <w:ilvl w:val="0"/>
          <w:numId w:val="2"/>
        </w:numPr>
        <w:tabs>
          <w:tab w:val="clear" w:pos="1440"/>
          <w:tab w:val="left" w:pos="450"/>
          <w:tab w:val="num" w:pos="810"/>
          <w:tab w:val="left" w:pos="2816"/>
        </w:tabs>
        <w:autoSpaceDE w:val="0"/>
        <w:autoSpaceDN w:val="0"/>
        <w:adjustRightInd w:val="0"/>
        <w:ind w:left="810" w:right="132"/>
        <w:jc w:val="both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Consider norovirus with classic history of nausea, vomiting, intense cramping, and watery diarrhea that usually lasts 48-72 hrs</w:t>
      </w:r>
    </w:p>
    <w:p w:rsidR="00040BCA" w:rsidRPr="00723765" w:rsidRDefault="00040BCA" w:rsidP="00040BCA">
      <w:pPr>
        <w:widowControl w:val="0"/>
        <w:numPr>
          <w:ilvl w:val="0"/>
          <w:numId w:val="2"/>
        </w:numPr>
        <w:tabs>
          <w:tab w:val="clear" w:pos="1440"/>
          <w:tab w:val="left" w:pos="450"/>
          <w:tab w:val="num" w:pos="810"/>
          <w:tab w:val="left" w:pos="2816"/>
        </w:tabs>
        <w:autoSpaceDE w:val="0"/>
        <w:autoSpaceDN w:val="0"/>
        <w:adjustRightInd w:val="0"/>
        <w:ind w:left="810" w:right="132"/>
        <w:jc w:val="both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Travelers diarrhea is most commonly caused by enterotoxogenic E. Coli, but still consider other causes of diarrhea and specific organisms based on area of travel</w:t>
      </w:r>
    </w:p>
    <w:p w:rsidR="00040BCA" w:rsidRPr="00723765" w:rsidRDefault="00040BCA" w:rsidP="00040BCA">
      <w:pPr>
        <w:widowControl w:val="0"/>
        <w:numPr>
          <w:ilvl w:val="0"/>
          <w:numId w:val="2"/>
        </w:numPr>
        <w:tabs>
          <w:tab w:val="clear" w:pos="1440"/>
          <w:tab w:val="left" w:pos="450"/>
          <w:tab w:val="num" w:pos="810"/>
          <w:tab w:val="left" w:pos="2816"/>
        </w:tabs>
        <w:autoSpaceDE w:val="0"/>
        <w:autoSpaceDN w:val="0"/>
        <w:adjustRightInd w:val="0"/>
        <w:ind w:left="810" w:right="132"/>
        <w:jc w:val="both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Exposure to contaminated water or camping think of parasites (giardia, cryptosporidium and entamoeba)</w:t>
      </w:r>
    </w:p>
    <w:p w:rsidR="00040BCA" w:rsidRPr="00723765" w:rsidRDefault="00040BCA" w:rsidP="00040BCA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num" w:pos="810"/>
          <w:tab w:val="left" w:pos="2816"/>
        </w:tabs>
        <w:autoSpaceDE w:val="0"/>
        <w:autoSpaceDN w:val="0"/>
        <w:adjustRightInd w:val="0"/>
        <w:ind w:left="810" w:right="132"/>
        <w:jc w:val="both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 xml:space="preserve">Exposure to animals: Young cats/dogs </w:t>
      </w:r>
      <w:r w:rsidRPr="00723765">
        <w:rPr>
          <w:rFonts w:cs="Arial"/>
          <w:i/>
          <w:color w:val="000000"/>
          <w:szCs w:val="20"/>
          <w:lang w:bidi="en-US"/>
        </w:rPr>
        <w:sym w:font="Wingdings" w:char="F0E0"/>
      </w:r>
      <w:r w:rsidRPr="00723765">
        <w:rPr>
          <w:rFonts w:cs="Arial"/>
          <w:i/>
          <w:color w:val="000000"/>
          <w:szCs w:val="20"/>
          <w:lang w:bidi="en-US"/>
        </w:rPr>
        <w:t xml:space="preserve"> campylobacter; Turtles </w:t>
      </w:r>
      <w:r w:rsidRPr="00723765">
        <w:rPr>
          <w:rFonts w:cs="Arial"/>
          <w:i/>
          <w:color w:val="000000"/>
          <w:szCs w:val="20"/>
          <w:lang w:bidi="en-US"/>
        </w:rPr>
        <w:sym w:font="Wingdings" w:char="F0E0"/>
      </w:r>
      <w:r w:rsidRPr="00723765">
        <w:rPr>
          <w:rFonts w:cs="Arial"/>
          <w:i/>
          <w:color w:val="000000"/>
          <w:szCs w:val="20"/>
          <w:lang w:bidi="en-US"/>
        </w:rPr>
        <w:t xml:space="preserve"> Salmonella</w:t>
      </w:r>
    </w:p>
    <w:p w:rsidR="00040BCA" w:rsidRPr="00723765" w:rsidRDefault="00040BCA" w:rsidP="00040BCA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num" w:pos="810"/>
          <w:tab w:val="left" w:pos="2816"/>
        </w:tabs>
        <w:autoSpaceDE w:val="0"/>
        <w:autoSpaceDN w:val="0"/>
        <w:adjustRightInd w:val="0"/>
        <w:ind w:left="810" w:right="132"/>
        <w:jc w:val="both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Organisms that cause food poisonings:</w:t>
      </w:r>
    </w:p>
    <w:p w:rsidR="00040BCA" w:rsidRPr="00723765" w:rsidRDefault="00040BCA" w:rsidP="00040BCA">
      <w:pPr>
        <w:numPr>
          <w:ilvl w:val="1"/>
          <w:numId w:val="2"/>
        </w:numPr>
        <w:tabs>
          <w:tab w:val="clear" w:pos="2160"/>
          <w:tab w:val="num" w:pos="1350"/>
        </w:tabs>
        <w:spacing w:beforeAutospacing="1" w:afterAutospacing="1"/>
        <w:ind w:left="1440"/>
        <w:rPr>
          <w:i/>
          <w:szCs w:val="20"/>
        </w:rPr>
      </w:pPr>
      <w:r w:rsidRPr="00723765">
        <w:rPr>
          <w:i/>
          <w:szCs w:val="20"/>
        </w:rPr>
        <w:t>Dairy food -</w:t>
      </w:r>
      <w:r w:rsidRPr="00723765">
        <w:rPr>
          <w:rStyle w:val="Emphasis"/>
          <w:szCs w:val="20"/>
        </w:rPr>
        <w:t>Campylobacter</w:t>
      </w:r>
      <w:r w:rsidRPr="00723765">
        <w:rPr>
          <w:i/>
          <w:szCs w:val="20"/>
        </w:rPr>
        <w:t xml:space="preserve"> and </w:t>
      </w:r>
      <w:r w:rsidRPr="00723765">
        <w:rPr>
          <w:rStyle w:val="Emphasis"/>
          <w:szCs w:val="20"/>
        </w:rPr>
        <w:t>Salmonella</w:t>
      </w:r>
      <w:r w:rsidRPr="00723765">
        <w:rPr>
          <w:i/>
          <w:szCs w:val="20"/>
        </w:rPr>
        <w:t xml:space="preserve"> species; Eggs -</w:t>
      </w:r>
      <w:r w:rsidRPr="00723765">
        <w:rPr>
          <w:rStyle w:val="Emphasis"/>
          <w:szCs w:val="20"/>
        </w:rPr>
        <w:t>Salmonella</w:t>
      </w:r>
      <w:r w:rsidRPr="00723765">
        <w:rPr>
          <w:i/>
          <w:szCs w:val="20"/>
        </w:rPr>
        <w:t xml:space="preserve"> species</w:t>
      </w:r>
    </w:p>
    <w:p w:rsidR="00040BCA" w:rsidRPr="00723765" w:rsidRDefault="00040BCA" w:rsidP="00040BCA">
      <w:pPr>
        <w:numPr>
          <w:ilvl w:val="1"/>
          <w:numId w:val="2"/>
        </w:numPr>
        <w:tabs>
          <w:tab w:val="clear" w:pos="2160"/>
          <w:tab w:val="num" w:pos="1350"/>
        </w:tabs>
        <w:spacing w:beforeAutospacing="1" w:afterAutospacing="1"/>
        <w:ind w:left="1440"/>
        <w:rPr>
          <w:i/>
          <w:szCs w:val="20"/>
        </w:rPr>
      </w:pPr>
      <w:r w:rsidRPr="00723765">
        <w:rPr>
          <w:i/>
          <w:szCs w:val="20"/>
        </w:rPr>
        <w:t xml:space="preserve">Ground beef - Enterohemorrhagic </w:t>
      </w:r>
      <w:r w:rsidRPr="00723765">
        <w:rPr>
          <w:rStyle w:val="Emphasis"/>
          <w:szCs w:val="20"/>
        </w:rPr>
        <w:t>E coli</w:t>
      </w:r>
    </w:p>
    <w:p w:rsidR="00040BCA" w:rsidRPr="00723765" w:rsidRDefault="00040BCA" w:rsidP="00040BCA">
      <w:pPr>
        <w:numPr>
          <w:ilvl w:val="1"/>
          <w:numId w:val="2"/>
        </w:numPr>
        <w:tabs>
          <w:tab w:val="clear" w:pos="2160"/>
          <w:tab w:val="num" w:pos="1350"/>
        </w:tabs>
        <w:spacing w:beforeAutospacing="1" w:afterAutospacing="1"/>
        <w:ind w:left="1440"/>
        <w:rPr>
          <w:i/>
          <w:szCs w:val="20"/>
        </w:rPr>
      </w:pPr>
      <w:r w:rsidRPr="00723765">
        <w:rPr>
          <w:i/>
          <w:szCs w:val="20"/>
        </w:rPr>
        <w:t>Poultry -</w:t>
      </w:r>
      <w:r w:rsidRPr="00723765">
        <w:rPr>
          <w:rStyle w:val="Emphasis"/>
          <w:szCs w:val="20"/>
        </w:rPr>
        <w:t>Campylobacter</w:t>
      </w:r>
      <w:r w:rsidRPr="00723765">
        <w:rPr>
          <w:i/>
          <w:szCs w:val="20"/>
        </w:rPr>
        <w:t xml:space="preserve"> species</w:t>
      </w:r>
    </w:p>
    <w:p w:rsidR="00040BCA" w:rsidRPr="00723765" w:rsidRDefault="00040BCA" w:rsidP="00040BCA">
      <w:pPr>
        <w:numPr>
          <w:ilvl w:val="1"/>
          <w:numId w:val="2"/>
        </w:numPr>
        <w:tabs>
          <w:tab w:val="clear" w:pos="2160"/>
          <w:tab w:val="num" w:pos="1350"/>
        </w:tabs>
        <w:spacing w:beforeAutospacing="1" w:afterAutospacing="1"/>
        <w:ind w:left="1440"/>
        <w:rPr>
          <w:i/>
          <w:szCs w:val="20"/>
        </w:rPr>
      </w:pPr>
      <w:r w:rsidRPr="00723765">
        <w:rPr>
          <w:i/>
          <w:szCs w:val="20"/>
        </w:rPr>
        <w:t>Pork -</w:t>
      </w:r>
      <w:r w:rsidRPr="00723765">
        <w:rPr>
          <w:rStyle w:val="Emphasis"/>
          <w:szCs w:val="20"/>
        </w:rPr>
        <w:t>C perfringens, Y enterocolitica</w:t>
      </w:r>
    </w:p>
    <w:p w:rsidR="00040BCA" w:rsidRPr="00723765" w:rsidRDefault="00040BCA" w:rsidP="00040BCA">
      <w:pPr>
        <w:numPr>
          <w:ilvl w:val="1"/>
          <w:numId w:val="2"/>
        </w:numPr>
        <w:tabs>
          <w:tab w:val="clear" w:pos="2160"/>
          <w:tab w:val="num" w:pos="1350"/>
        </w:tabs>
        <w:spacing w:beforeAutospacing="1" w:afterAutospacing="1"/>
        <w:ind w:left="1440"/>
        <w:rPr>
          <w:i/>
          <w:szCs w:val="20"/>
        </w:rPr>
      </w:pPr>
      <w:r w:rsidRPr="00723765">
        <w:rPr>
          <w:i/>
          <w:szCs w:val="20"/>
        </w:rPr>
        <w:t xml:space="preserve">Seafood - Astrovirus and </w:t>
      </w:r>
      <w:r w:rsidRPr="00723765">
        <w:rPr>
          <w:rStyle w:val="Emphasis"/>
          <w:szCs w:val="20"/>
        </w:rPr>
        <w:t>Aeromonas, Plesiomonas,</w:t>
      </w:r>
      <w:r w:rsidRPr="00723765">
        <w:rPr>
          <w:i/>
          <w:szCs w:val="20"/>
        </w:rPr>
        <w:t xml:space="preserve"> and </w:t>
      </w:r>
      <w:r w:rsidRPr="00723765">
        <w:rPr>
          <w:rStyle w:val="Emphasis"/>
          <w:szCs w:val="20"/>
        </w:rPr>
        <w:t>Vibrio</w:t>
      </w:r>
      <w:r w:rsidRPr="00723765">
        <w:rPr>
          <w:i/>
          <w:szCs w:val="20"/>
        </w:rPr>
        <w:t xml:space="preserve"> species</w:t>
      </w:r>
    </w:p>
    <w:p w:rsidR="00040BCA" w:rsidRPr="00723765" w:rsidRDefault="00040BCA" w:rsidP="00040BCA">
      <w:pPr>
        <w:numPr>
          <w:ilvl w:val="1"/>
          <w:numId w:val="2"/>
        </w:numPr>
        <w:tabs>
          <w:tab w:val="clear" w:pos="2160"/>
          <w:tab w:val="num" w:pos="810"/>
          <w:tab w:val="num" w:pos="1350"/>
        </w:tabs>
        <w:spacing w:beforeAutospacing="1" w:afterAutospacing="1"/>
        <w:ind w:left="1440"/>
        <w:rPr>
          <w:i/>
          <w:szCs w:val="20"/>
        </w:rPr>
      </w:pPr>
      <w:r w:rsidRPr="00723765">
        <w:rPr>
          <w:i/>
          <w:szCs w:val="20"/>
        </w:rPr>
        <w:t xml:space="preserve">Oysters - Calicivirus and </w:t>
      </w:r>
      <w:r w:rsidRPr="00723765">
        <w:rPr>
          <w:rStyle w:val="Emphasis"/>
          <w:szCs w:val="20"/>
        </w:rPr>
        <w:t>Plesiomonas</w:t>
      </w:r>
      <w:r w:rsidRPr="00723765">
        <w:rPr>
          <w:i/>
          <w:szCs w:val="20"/>
        </w:rPr>
        <w:t xml:space="preserve"> and </w:t>
      </w:r>
      <w:r w:rsidRPr="00723765">
        <w:rPr>
          <w:rStyle w:val="Emphasis"/>
          <w:szCs w:val="20"/>
        </w:rPr>
        <w:t>Vibrio</w:t>
      </w:r>
      <w:r w:rsidRPr="00723765">
        <w:rPr>
          <w:i/>
          <w:szCs w:val="20"/>
        </w:rPr>
        <w:t xml:space="preserve"> species</w:t>
      </w:r>
    </w:p>
    <w:p w:rsidR="00040BCA" w:rsidRPr="00723765" w:rsidRDefault="00040BCA" w:rsidP="00040BCA">
      <w:pPr>
        <w:numPr>
          <w:ilvl w:val="1"/>
          <w:numId w:val="2"/>
        </w:numPr>
        <w:tabs>
          <w:tab w:val="clear" w:pos="2160"/>
          <w:tab w:val="num" w:pos="810"/>
          <w:tab w:val="num" w:pos="1350"/>
        </w:tabs>
        <w:spacing w:beforeAutospacing="1" w:afterAutospacing="1"/>
        <w:ind w:left="1440"/>
        <w:rPr>
          <w:rFonts w:cs="Arial"/>
          <w:i/>
          <w:color w:val="000000"/>
          <w:szCs w:val="20"/>
          <w:lang w:bidi="en-US"/>
        </w:rPr>
      </w:pPr>
      <w:r w:rsidRPr="00723765">
        <w:rPr>
          <w:i/>
          <w:szCs w:val="20"/>
        </w:rPr>
        <w:t>Vegetables -</w:t>
      </w:r>
      <w:r w:rsidRPr="00723765">
        <w:rPr>
          <w:rStyle w:val="Emphasis"/>
          <w:szCs w:val="20"/>
        </w:rPr>
        <w:t>Aeromonas</w:t>
      </w:r>
      <w:r w:rsidRPr="00723765">
        <w:rPr>
          <w:i/>
          <w:szCs w:val="20"/>
        </w:rPr>
        <w:t xml:space="preserve"> species and </w:t>
      </w:r>
      <w:r w:rsidRPr="00723765">
        <w:rPr>
          <w:rStyle w:val="Emphasis"/>
          <w:szCs w:val="20"/>
        </w:rPr>
        <w:t>C perfringens</w:t>
      </w:r>
    </w:p>
    <w:p w:rsidR="00040BCA" w:rsidRPr="00723765" w:rsidRDefault="00040BCA" w:rsidP="00040BCA">
      <w:pPr>
        <w:widowControl w:val="0"/>
        <w:autoSpaceDE w:val="0"/>
        <w:autoSpaceDN w:val="0"/>
        <w:adjustRightInd w:val="0"/>
        <w:spacing w:after="60"/>
        <w:ind w:left="720" w:right="132" w:hanging="720"/>
        <w:rPr>
          <w:rFonts w:cs="Arial"/>
          <w:b/>
          <w:color w:val="000000"/>
          <w:szCs w:val="20"/>
          <w:lang w:bidi="en-US"/>
        </w:rPr>
      </w:pPr>
      <w:r w:rsidRPr="00723765">
        <w:rPr>
          <w:rFonts w:cs="Arial"/>
          <w:b/>
          <w:color w:val="000000"/>
          <w:szCs w:val="20"/>
          <w:lang w:bidi="en-US"/>
        </w:rPr>
        <w:t xml:space="preserve">3. In patients with acute diarrhea who have had recent hospitalization or recent antibiotic use, look for clostridium difficile. </w:t>
      </w:r>
    </w:p>
    <w:p w:rsidR="00040BCA" w:rsidRPr="00723765" w:rsidRDefault="00040BCA" w:rsidP="00040BCA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132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Suspect if antibiotic use within the last 2 months or discharge from hospital within last 72 hours; can happen with almost all antibiotics (although clinda is the classical example).  Presents with watery diarrhea that is rarely bloody, crampy abdo pain, malaise, fever, anorexia.</w:t>
      </w:r>
    </w:p>
    <w:p w:rsidR="00040BCA" w:rsidRPr="00723765" w:rsidRDefault="00040BCA" w:rsidP="00040BCA">
      <w:pPr>
        <w:widowControl w:val="0"/>
        <w:numPr>
          <w:ilvl w:val="0"/>
          <w:numId w:val="8"/>
        </w:numPr>
        <w:autoSpaceDE w:val="0"/>
        <w:autoSpaceDN w:val="0"/>
        <w:adjustRightInd w:val="0"/>
        <w:ind w:right="132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lastRenderedPageBreak/>
        <w:t>Can lead to fulminant colitis and toxic megacolon</w:t>
      </w:r>
    </w:p>
    <w:p w:rsidR="00040BCA" w:rsidRPr="00723765" w:rsidRDefault="00040BCA" w:rsidP="00040BCA">
      <w:pPr>
        <w:widowControl w:val="0"/>
        <w:autoSpaceDE w:val="0"/>
        <w:autoSpaceDN w:val="0"/>
        <w:adjustRightInd w:val="0"/>
        <w:spacing w:before="240" w:after="60"/>
        <w:ind w:left="720" w:right="132" w:hanging="720"/>
        <w:rPr>
          <w:rFonts w:cs="Arial"/>
          <w:b/>
          <w:color w:val="000000"/>
          <w:szCs w:val="20"/>
          <w:lang w:bidi="en-US"/>
        </w:rPr>
      </w:pPr>
      <w:r w:rsidRPr="00723765">
        <w:rPr>
          <w:rFonts w:cs="Arial"/>
          <w:b/>
          <w:color w:val="000000"/>
          <w:szCs w:val="20"/>
          <w:lang w:bidi="en-US"/>
        </w:rPr>
        <w:t xml:space="preserve">4. In patients with acute diarrhea, counsel about the timing of return to work/school (re: the likelihood of infectivity). </w:t>
      </w:r>
    </w:p>
    <w:p w:rsidR="00040BCA" w:rsidRPr="00723765" w:rsidRDefault="00040BCA" w:rsidP="00040BCA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132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No return to work until no diarrhea for at least 48 hours</w:t>
      </w:r>
    </w:p>
    <w:p w:rsidR="00040BCA" w:rsidRPr="00723765" w:rsidRDefault="00040BCA" w:rsidP="00040B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60"/>
        <w:ind w:right="132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Food handlers/daycare workers/health care workers may require negative stool samples on 2 occasions at least 24 hrs apart prior to returning to work to prevent outbreaks</w:t>
      </w:r>
    </w:p>
    <w:p w:rsidR="00040BCA" w:rsidRPr="00723765" w:rsidRDefault="00040BCA" w:rsidP="00040BCA">
      <w:pPr>
        <w:widowControl w:val="0"/>
        <w:autoSpaceDE w:val="0"/>
        <w:autoSpaceDN w:val="0"/>
        <w:adjustRightInd w:val="0"/>
        <w:spacing w:before="240" w:after="60"/>
        <w:ind w:left="720" w:right="132" w:hanging="720"/>
        <w:rPr>
          <w:rFonts w:cs="Arial"/>
          <w:b/>
          <w:color w:val="000000"/>
          <w:szCs w:val="20"/>
          <w:lang w:bidi="en-US"/>
        </w:rPr>
      </w:pPr>
      <w:r w:rsidRPr="00723765">
        <w:rPr>
          <w:rFonts w:cs="Arial"/>
          <w:b/>
          <w:color w:val="000000"/>
          <w:szCs w:val="20"/>
          <w:lang w:bidi="en-US"/>
        </w:rPr>
        <w:t xml:space="preserve">5. Pursue investigation, in a timely manner, of elderly with unexplained diarrhea, as they are more likely to have pathology. </w:t>
      </w:r>
    </w:p>
    <w:p w:rsidR="00040BCA" w:rsidRPr="00723765" w:rsidRDefault="00040BCA" w:rsidP="00040BCA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32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Any change in bowel habit should raise possibility of colorectal cancer</w:t>
      </w:r>
    </w:p>
    <w:p w:rsidR="00040BCA" w:rsidRPr="00723765" w:rsidRDefault="00040BCA" w:rsidP="00040B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60"/>
        <w:ind w:right="132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Also consider other pathology such as diverticulitis, inflammatory bowel disease, etc.</w:t>
      </w:r>
    </w:p>
    <w:p w:rsidR="00040BCA" w:rsidRPr="00723765" w:rsidRDefault="00040BCA" w:rsidP="00040BCA">
      <w:pPr>
        <w:widowControl w:val="0"/>
        <w:autoSpaceDE w:val="0"/>
        <w:autoSpaceDN w:val="0"/>
        <w:adjustRightInd w:val="0"/>
        <w:spacing w:before="240" w:after="60"/>
        <w:ind w:left="270" w:right="132" w:hanging="270"/>
        <w:rPr>
          <w:rFonts w:cs="Arial"/>
          <w:b/>
          <w:color w:val="000000"/>
          <w:szCs w:val="20"/>
          <w:lang w:bidi="en-US"/>
        </w:rPr>
      </w:pPr>
      <w:r w:rsidRPr="00723765">
        <w:rPr>
          <w:rFonts w:cs="Arial"/>
          <w:b/>
          <w:color w:val="000000"/>
          <w:szCs w:val="20"/>
          <w:lang w:bidi="en-US"/>
        </w:rPr>
        <w:t xml:space="preserve">6. In a young person with chronic or recurrent diarrhea, with no red flag symptoms or signs, use established clinical criteria to make a positive diagnosis of irritable bowel syndrome (do not over investigate). </w:t>
      </w:r>
    </w:p>
    <w:p w:rsidR="00040BCA" w:rsidRPr="00723765" w:rsidRDefault="00040BCA" w:rsidP="00040BCA">
      <w:pPr>
        <w:widowControl w:val="0"/>
        <w:numPr>
          <w:ilvl w:val="0"/>
          <w:numId w:val="3"/>
        </w:numPr>
        <w:tabs>
          <w:tab w:val="clear" w:pos="720"/>
          <w:tab w:val="num" w:pos="630"/>
        </w:tabs>
        <w:autoSpaceDE w:val="0"/>
        <w:autoSpaceDN w:val="0"/>
        <w:adjustRightInd w:val="0"/>
        <w:ind w:left="630" w:right="132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u w:val="single"/>
          <w:lang w:bidi="en-US"/>
        </w:rPr>
        <w:t>Red flags</w:t>
      </w:r>
      <w:r w:rsidRPr="00723765">
        <w:rPr>
          <w:rFonts w:cs="Arial"/>
          <w:i/>
          <w:color w:val="000000"/>
          <w:szCs w:val="20"/>
          <w:lang w:bidi="en-US"/>
        </w:rPr>
        <w:t>: fevers/chills, weight loss, bloody stool, mucousy stool, nocturnal diarrhea, large volume stool, greasy stool, FHx of IBD or cancer, anemia, persistent daily diarrhea or constipation, severe pain</w:t>
      </w:r>
    </w:p>
    <w:p w:rsidR="00040BCA" w:rsidRPr="00723765" w:rsidRDefault="00040BCA" w:rsidP="00040BCA">
      <w:pPr>
        <w:widowControl w:val="0"/>
        <w:numPr>
          <w:ilvl w:val="0"/>
          <w:numId w:val="3"/>
        </w:numPr>
        <w:tabs>
          <w:tab w:val="num" w:pos="630"/>
        </w:tabs>
        <w:autoSpaceDE w:val="0"/>
        <w:autoSpaceDN w:val="0"/>
        <w:adjustRightInd w:val="0"/>
        <w:ind w:left="630" w:right="132"/>
        <w:rPr>
          <w:rFonts w:cs="Arial"/>
          <w:i/>
          <w:color w:val="000000"/>
          <w:szCs w:val="20"/>
          <w:u w:val="single"/>
          <w:lang w:bidi="en-US"/>
        </w:rPr>
      </w:pPr>
      <w:r w:rsidRPr="00723765">
        <w:rPr>
          <w:rFonts w:cs="Arial"/>
          <w:i/>
          <w:color w:val="000000"/>
          <w:szCs w:val="20"/>
          <w:u w:val="single"/>
          <w:lang w:bidi="en-US"/>
        </w:rPr>
        <w:t>Rome III criteria:</w:t>
      </w:r>
    </w:p>
    <w:p w:rsidR="00040BCA" w:rsidRPr="00723765" w:rsidRDefault="00040BCA" w:rsidP="00040BCA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autoSpaceDE w:val="0"/>
        <w:autoSpaceDN w:val="0"/>
        <w:adjustRightInd w:val="0"/>
        <w:ind w:left="1080" w:right="132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 xml:space="preserve"> Recurrent abdominal pain or discomfort for at least 3 days per month in the last 3 months associated with 2 or more of the following:</w:t>
      </w:r>
    </w:p>
    <w:p w:rsidR="00040BCA" w:rsidRPr="00723765" w:rsidRDefault="00040BCA" w:rsidP="00040BCA">
      <w:pPr>
        <w:widowControl w:val="0"/>
        <w:numPr>
          <w:ilvl w:val="2"/>
          <w:numId w:val="3"/>
        </w:numPr>
        <w:tabs>
          <w:tab w:val="clear" w:pos="2160"/>
          <w:tab w:val="num" w:pos="1260"/>
          <w:tab w:val="left" w:pos="1350"/>
          <w:tab w:val="num" w:pos="1620"/>
        </w:tabs>
        <w:autoSpaceDE w:val="0"/>
        <w:autoSpaceDN w:val="0"/>
        <w:adjustRightInd w:val="0"/>
        <w:ind w:left="1620" w:right="132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Improvement with defecation</w:t>
      </w:r>
    </w:p>
    <w:p w:rsidR="00040BCA" w:rsidRPr="00723765" w:rsidRDefault="00040BCA" w:rsidP="00040BCA">
      <w:pPr>
        <w:widowControl w:val="0"/>
        <w:numPr>
          <w:ilvl w:val="2"/>
          <w:numId w:val="3"/>
        </w:numPr>
        <w:tabs>
          <w:tab w:val="clear" w:pos="2160"/>
          <w:tab w:val="num" w:pos="1260"/>
          <w:tab w:val="left" w:pos="1350"/>
          <w:tab w:val="num" w:pos="1620"/>
        </w:tabs>
        <w:autoSpaceDE w:val="0"/>
        <w:autoSpaceDN w:val="0"/>
        <w:adjustRightInd w:val="0"/>
        <w:ind w:left="1620" w:right="132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Onset associated with a change in frequency of stool</w:t>
      </w:r>
    </w:p>
    <w:p w:rsidR="00040BCA" w:rsidRPr="00723765" w:rsidRDefault="00040BCA" w:rsidP="00040BCA">
      <w:pPr>
        <w:widowControl w:val="0"/>
        <w:numPr>
          <w:ilvl w:val="2"/>
          <w:numId w:val="3"/>
        </w:numPr>
        <w:tabs>
          <w:tab w:val="clear" w:pos="2160"/>
          <w:tab w:val="num" w:pos="1260"/>
          <w:tab w:val="left" w:pos="1350"/>
          <w:tab w:val="num" w:pos="1620"/>
        </w:tabs>
        <w:autoSpaceDE w:val="0"/>
        <w:autoSpaceDN w:val="0"/>
        <w:adjustRightInd w:val="0"/>
        <w:ind w:left="1620" w:right="132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Onset associated with a change in form (appearance of stool)</w:t>
      </w:r>
    </w:p>
    <w:p w:rsidR="00040BCA" w:rsidRPr="00723765" w:rsidRDefault="00040BCA" w:rsidP="00040BCA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350"/>
        </w:tabs>
        <w:autoSpaceDE w:val="0"/>
        <w:autoSpaceDN w:val="0"/>
        <w:adjustRightInd w:val="0"/>
        <w:ind w:left="1080" w:right="132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criteria fulfilled for the last 3 mths with sx onset at least 6 mths prior to dx</w:t>
      </w:r>
    </w:p>
    <w:p w:rsidR="00040BCA" w:rsidRPr="004D4F35" w:rsidRDefault="00040BCA" w:rsidP="00040BCA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350"/>
        </w:tabs>
        <w:autoSpaceDE w:val="0"/>
        <w:autoSpaceDN w:val="0"/>
        <w:adjustRightInd w:val="0"/>
        <w:ind w:left="1080" w:right="132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Supportive sxs that are not part of the diagnostic criteria include</w:t>
      </w:r>
      <w:r w:rsidRPr="004D4F35">
        <w:rPr>
          <w:rFonts w:cs="Arial"/>
          <w:i/>
          <w:color w:val="000000"/>
          <w:szCs w:val="20"/>
          <w:lang w:bidi="en-US"/>
        </w:rPr>
        <w:t>:</w:t>
      </w:r>
    </w:p>
    <w:p w:rsidR="00040BCA" w:rsidRPr="004D4F35" w:rsidRDefault="00040BCA" w:rsidP="00040BCA">
      <w:pPr>
        <w:widowControl w:val="0"/>
        <w:numPr>
          <w:ilvl w:val="2"/>
          <w:numId w:val="3"/>
        </w:numPr>
        <w:tabs>
          <w:tab w:val="clear" w:pos="2160"/>
          <w:tab w:val="num" w:pos="1260"/>
          <w:tab w:val="left" w:pos="1350"/>
          <w:tab w:val="num" w:pos="1620"/>
        </w:tabs>
        <w:autoSpaceDE w:val="0"/>
        <w:autoSpaceDN w:val="0"/>
        <w:adjustRightInd w:val="0"/>
        <w:ind w:left="1620" w:right="132"/>
        <w:rPr>
          <w:rFonts w:cs="Arial"/>
          <w:i/>
          <w:color w:val="000000"/>
          <w:szCs w:val="20"/>
          <w:lang w:bidi="en-US"/>
        </w:rPr>
      </w:pPr>
      <w:r w:rsidRPr="004D4F35">
        <w:rPr>
          <w:rFonts w:cs="Arial"/>
          <w:i/>
          <w:color w:val="000000"/>
          <w:szCs w:val="20"/>
          <w:lang w:bidi="en-US"/>
        </w:rPr>
        <w:t xml:space="preserve"> a) &lt;3 BM/week, b)  &gt;3BM/day or abnormal stool form c) lumpy/hard stool d) loose/watery stool e) defecation straining f) urgency or feeling of incomplete bowel movement, passing mucus or bloating</w:t>
      </w:r>
    </w:p>
    <w:p w:rsidR="00040BCA" w:rsidRPr="00723765" w:rsidRDefault="00040BCA" w:rsidP="00040BCA">
      <w:pPr>
        <w:widowControl w:val="0"/>
        <w:numPr>
          <w:ilvl w:val="1"/>
          <w:numId w:val="3"/>
        </w:numPr>
        <w:tabs>
          <w:tab w:val="clear" w:pos="1440"/>
          <w:tab w:val="left" w:pos="1170"/>
          <w:tab w:val="num" w:pos="1260"/>
        </w:tabs>
        <w:autoSpaceDE w:val="0"/>
        <w:autoSpaceDN w:val="0"/>
        <w:adjustRightInd w:val="0"/>
        <w:ind w:left="1170" w:right="132" w:hanging="450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in the absence of structural or metabolic abnormalities to explain the sxs</w:t>
      </w:r>
    </w:p>
    <w:p w:rsidR="00040BCA" w:rsidRPr="00723765" w:rsidRDefault="00040BCA" w:rsidP="00040BCA">
      <w:pPr>
        <w:widowControl w:val="0"/>
        <w:numPr>
          <w:ilvl w:val="1"/>
          <w:numId w:val="3"/>
        </w:numPr>
        <w:tabs>
          <w:tab w:val="clear" w:pos="1440"/>
          <w:tab w:val="left" w:pos="1170"/>
          <w:tab w:val="num" w:pos="1260"/>
        </w:tabs>
        <w:autoSpaceDE w:val="0"/>
        <w:autoSpaceDN w:val="0"/>
        <w:adjustRightInd w:val="0"/>
        <w:ind w:left="1170" w:right="132" w:hanging="450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“discomfort” means an uncomfortable sensation not described as pain</w:t>
      </w:r>
    </w:p>
    <w:p w:rsidR="00040BCA" w:rsidRPr="00723765" w:rsidRDefault="00040BCA" w:rsidP="00040BCA">
      <w:pPr>
        <w:widowControl w:val="0"/>
        <w:autoSpaceDE w:val="0"/>
        <w:autoSpaceDN w:val="0"/>
        <w:adjustRightInd w:val="0"/>
        <w:spacing w:before="240" w:after="60"/>
        <w:ind w:left="720" w:right="132" w:hanging="720"/>
        <w:rPr>
          <w:rFonts w:cs="Arial"/>
          <w:b/>
          <w:color w:val="000000"/>
          <w:szCs w:val="20"/>
          <w:lang w:bidi="en-US"/>
        </w:rPr>
      </w:pPr>
      <w:r w:rsidRPr="00723765">
        <w:rPr>
          <w:rFonts w:cs="Arial"/>
          <w:b/>
          <w:color w:val="000000"/>
          <w:szCs w:val="20"/>
          <w:lang w:bidi="en-US"/>
        </w:rPr>
        <w:t xml:space="preserve">7. In patients with chronic or recurrent diarrhea, look for both gastro-intestinal and non-gastro-intestinal symptoms and signs suggestive of specific diseases </w:t>
      </w:r>
    </w:p>
    <w:p w:rsidR="00040BCA" w:rsidRPr="00723765" w:rsidRDefault="00040BCA" w:rsidP="00040BCA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32"/>
        <w:rPr>
          <w:rFonts w:cs="Arial"/>
          <w:b/>
          <w:color w:val="000000"/>
          <w:szCs w:val="20"/>
          <w:lang w:bidi="en-US"/>
        </w:rPr>
      </w:pPr>
      <w:r w:rsidRPr="00723765">
        <w:rPr>
          <w:rFonts w:cs="Arial"/>
          <w:b/>
          <w:color w:val="000000"/>
          <w:szCs w:val="20"/>
          <w:lang w:bidi="en-US"/>
        </w:rPr>
        <w:t>Malabsorption Syndrome:</w:t>
      </w:r>
    </w:p>
    <w:p w:rsidR="00040BCA" w:rsidRPr="00723765" w:rsidRDefault="00040BCA" w:rsidP="00040BCA">
      <w:pPr>
        <w:widowControl w:val="0"/>
        <w:numPr>
          <w:ilvl w:val="1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260" w:right="132" w:hanging="630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Stool tend to be pale, greasy, voluminous, and foul-smelling</w:t>
      </w:r>
    </w:p>
    <w:p w:rsidR="00040BCA" w:rsidRPr="00723765" w:rsidRDefault="00040BCA" w:rsidP="00040BCA">
      <w:pPr>
        <w:widowControl w:val="0"/>
        <w:numPr>
          <w:ilvl w:val="1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260" w:right="132" w:hanging="630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Patients typically have weight loss despite adequate food intake</w:t>
      </w:r>
    </w:p>
    <w:p w:rsidR="00040BCA" w:rsidRPr="00723765" w:rsidRDefault="00040BCA" w:rsidP="00040BCA">
      <w:pPr>
        <w:widowControl w:val="0"/>
        <w:numPr>
          <w:ilvl w:val="1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260" w:right="132" w:hanging="630"/>
        <w:rPr>
          <w:rFonts w:cs="Arial"/>
          <w:b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Common disorders with malabsorption include: Lactose intolerance, chronic pancreatitis, Celiac disease, Bacterial overgrowth of the small intestine</w:t>
      </w:r>
    </w:p>
    <w:p w:rsidR="00040BCA" w:rsidRPr="00723765" w:rsidRDefault="00040BCA" w:rsidP="00040BCA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32"/>
        <w:rPr>
          <w:rFonts w:cs="Arial"/>
          <w:b/>
          <w:color w:val="000000"/>
          <w:szCs w:val="20"/>
          <w:lang w:bidi="en-US"/>
        </w:rPr>
      </w:pPr>
      <w:r w:rsidRPr="00723765">
        <w:rPr>
          <w:rFonts w:cs="Arial"/>
          <w:b/>
          <w:color w:val="000000"/>
          <w:szCs w:val="20"/>
          <w:lang w:bidi="en-US"/>
        </w:rPr>
        <w:t>Cholecystecomy:</w:t>
      </w:r>
    </w:p>
    <w:p w:rsidR="00040BCA" w:rsidRPr="00723765" w:rsidRDefault="00040BCA" w:rsidP="00040BCA">
      <w:pPr>
        <w:widowControl w:val="0"/>
        <w:numPr>
          <w:ilvl w:val="1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right="132" w:hanging="450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Reported in 5-12% of patients following cholecystectomy, due to excessive bile salts entering the colon</w:t>
      </w:r>
    </w:p>
    <w:p w:rsidR="00040BCA" w:rsidRPr="00723765" w:rsidRDefault="00040BCA" w:rsidP="00040BCA">
      <w:pPr>
        <w:widowControl w:val="0"/>
        <w:numPr>
          <w:ilvl w:val="1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right="132" w:hanging="450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Usually resolves spontaneously over the course of weeks to months</w:t>
      </w:r>
    </w:p>
    <w:p w:rsidR="00040BCA" w:rsidRPr="00723765" w:rsidRDefault="00040BCA" w:rsidP="00040BCA">
      <w:pPr>
        <w:widowControl w:val="0"/>
        <w:numPr>
          <w:ilvl w:val="1"/>
          <w:numId w:val="7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right="132" w:hanging="450"/>
        <w:rPr>
          <w:rFonts w:cs="Arial"/>
          <w:i/>
          <w:color w:val="000000"/>
          <w:szCs w:val="20"/>
          <w:lang w:bidi="en-US"/>
        </w:rPr>
      </w:pPr>
      <w:r w:rsidRPr="00723765">
        <w:rPr>
          <w:rFonts w:cs="Arial"/>
          <w:i/>
          <w:color w:val="000000"/>
          <w:szCs w:val="20"/>
          <w:lang w:bidi="en-US"/>
        </w:rPr>
        <w:t>Can be treated with cholestryamine</w:t>
      </w:r>
    </w:p>
    <w:p w:rsidR="00040BCA" w:rsidRPr="00723765" w:rsidRDefault="00040BCA" w:rsidP="00040BCA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32"/>
      </w:pPr>
      <w:r w:rsidRPr="00723765">
        <w:rPr>
          <w:rFonts w:cs="Arial"/>
          <w:b/>
          <w:color w:val="000000"/>
          <w:szCs w:val="20"/>
          <w:lang w:bidi="en-US"/>
        </w:rPr>
        <w:t>Inflammatory Bowel Disease:</w:t>
      </w:r>
      <w:r w:rsidRPr="00723765">
        <w:t xml:space="preserve"> crohn’s and ulcerative colitis</w:t>
      </w:r>
    </w:p>
    <w:p w:rsidR="00040BCA" w:rsidRPr="00723765" w:rsidRDefault="00040BCA" w:rsidP="00040BCA">
      <w:pPr>
        <w:widowControl w:val="0"/>
        <w:numPr>
          <w:ilvl w:val="1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right="132" w:hanging="450"/>
        <w:rPr>
          <w:i/>
        </w:rPr>
      </w:pPr>
      <w:r w:rsidRPr="00723765">
        <w:rPr>
          <w:rFonts w:cs="Arial"/>
          <w:i/>
          <w:color w:val="000000"/>
          <w:szCs w:val="20"/>
          <w:lang w:bidi="en-US"/>
        </w:rPr>
        <w:t>Age on onset typically between 15 and 40, but may have a second peak between 50 to 80</w:t>
      </w:r>
    </w:p>
    <w:p w:rsidR="00040BCA" w:rsidRPr="00723765" w:rsidRDefault="00040BCA" w:rsidP="00040BCA">
      <w:pPr>
        <w:widowControl w:val="0"/>
        <w:numPr>
          <w:ilvl w:val="1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right="132" w:hanging="450"/>
        <w:rPr>
          <w:i/>
        </w:rPr>
      </w:pPr>
      <w:r w:rsidRPr="00723765">
        <w:rPr>
          <w:rFonts w:cs="Arial"/>
          <w:i/>
          <w:color w:val="000000"/>
          <w:szCs w:val="20"/>
          <w:lang w:bidi="en-US"/>
        </w:rPr>
        <w:t>Extraintestinal manifestions: iritis/uveitis, arthritis, skin changes, aphthous stomatitis, nail changes, pericholangitis, and sclerosing cholangitis</w:t>
      </w:r>
    </w:p>
    <w:p w:rsidR="00040BCA" w:rsidRPr="00723765" w:rsidRDefault="00040BCA" w:rsidP="00040BCA">
      <w:pPr>
        <w:widowControl w:val="0"/>
        <w:numPr>
          <w:ilvl w:val="1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right="132" w:hanging="450"/>
        <w:rPr>
          <w:i/>
        </w:rPr>
      </w:pPr>
      <w:r w:rsidRPr="00723765">
        <w:rPr>
          <w:rFonts w:cs="Arial"/>
          <w:i/>
          <w:color w:val="000000"/>
          <w:szCs w:val="20"/>
          <w:lang w:bidi="en-US"/>
        </w:rPr>
        <w:t xml:space="preserve">Need to monitor for cancerous changes in colon </w:t>
      </w:r>
    </w:p>
    <w:p w:rsidR="00040BCA" w:rsidRPr="00723765" w:rsidRDefault="00040BCA" w:rsidP="00040BCA">
      <w:pPr>
        <w:widowControl w:val="0"/>
        <w:numPr>
          <w:ilvl w:val="1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right="132" w:hanging="450"/>
        <w:rPr>
          <w:i/>
        </w:rPr>
      </w:pPr>
      <w:r w:rsidRPr="00723765">
        <w:rPr>
          <w:rFonts w:cs="Arial"/>
          <w:i/>
          <w:color w:val="000000"/>
          <w:szCs w:val="20"/>
          <w:lang w:bidi="en-US"/>
        </w:rPr>
        <w:t xml:space="preserve">Crohn’s: </w:t>
      </w:r>
    </w:p>
    <w:p w:rsidR="00040BCA" w:rsidRPr="00723765" w:rsidRDefault="00040BCA" w:rsidP="00040BCA">
      <w:pPr>
        <w:widowControl w:val="0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 w:right="132"/>
        <w:rPr>
          <w:i/>
        </w:rPr>
      </w:pPr>
      <w:r w:rsidRPr="00723765">
        <w:rPr>
          <w:rFonts w:cs="Arial"/>
          <w:i/>
          <w:color w:val="000000"/>
          <w:szCs w:val="20"/>
          <w:lang w:bidi="en-US"/>
        </w:rPr>
        <w:t>present with abdo pain, diarrhea, weight loss and fever</w:t>
      </w:r>
      <w:r w:rsidRPr="00723765">
        <w:rPr>
          <w:i/>
        </w:rPr>
        <w:t>; h</w:t>
      </w:r>
      <w:r w:rsidRPr="00723765">
        <w:rPr>
          <w:rFonts w:cs="Arial"/>
          <w:i/>
          <w:color w:val="000000"/>
          <w:szCs w:val="20"/>
          <w:lang w:bidi="en-US"/>
        </w:rPr>
        <w:t>emoccult positive stools are common, macroscopic bleeding less common</w:t>
      </w:r>
    </w:p>
    <w:p w:rsidR="00040BCA" w:rsidRPr="00723765" w:rsidRDefault="00040BCA" w:rsidP="00040BCA">
      <w:pPr>
        <w:widowControl w:val="0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 w:right="132"/>
        <w:rPr>
          <w:i/>
        </w:rPr>
      </w:pPr>
      <w:r w:rsidRPr="00723765">
        <w:rPr>
          <w:rFonts w:cs="Arial"/>
          <w:i/>
          <w:color w:val="000000"/>
          <w:szCs w:val="20"/>
          <w:lang w:bidi="en-US"/>
        </w:rPr>
        <w:t>Can get inflammation anywhere along GI tract (“from gums to bum”) in discontinuous fashion</w:t>
      </w:r>
    </w:p>
    <w:p w:rsidR="00040BCA" w:rsidRPr="00723765" w:rsidRDefault="00040BCA" w:rsidP="00040BCA">
      <w:pPr>
        <w:widowControl w:val="0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 w:right="132"/>
        <w:rPr>
          <w:i/>
        </w:rPr>
      </w:pPr>
      <w:r w:rsidRPr="00723765">
        <w:rPr>
          <w:i/>
        </w:rPr>
        <w:t xml:space="preserve">Inflammation is transmural therefore commonly get fistula formation </w:t>
      </w:r>
    </w:p>
    <w:p w:rsidR="00040BCA" w:rsidRPr="00723765" w:rsidRDefault="00040BCA" w:rsidP="00040BCA">
      <w:pPr>
        <w:widowControl w:val="0"/>
        <w:numPr>
          <w:ilvl w:val="1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ind w:right="132" w:hanging="810"/>
        <w:rPr>
          <w:i/>
        </w:rPr>
      </w:pPr>
      <w:r w:rsidRPr="00723765">
        <w:rPr>
          <w:rFonts w:cs="Arial"/>
          <w:i/>
          <w:color w:val="000000"/>
          <w:szCs w:val="20"/>
          <w:lang w:bidi="en-US"/>
        </w:rPr>
        <w:t>Ulcerative colitis:</w:t>
      </w:r>
    </w:p>
    <w:p w:rsidR="00040BCA" w:rsidRPr="00723765" w:rsidRDefault="00040BCA" w:rsidP="00040BCA">
      <w:pPr>
        <w:widowControl w:val="0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 w:right="132"/>
        <w:rPr>
          <w:i/>
        </w:rPr>
      </w:pPr>
      <w:r w:rsidRPr="00723765">
        <w:rPr>
          <w:rFonts w:cs="Arial"/>
          <w:i/>
          <w:color w:val="000000"/>
          <w:szCs w:val="20"/>
          <w:lang w:bidi="en-US"/>
        </w:rPr>
        <w:t>Only involves colon, always starting distally and ascends in continuous manner</w:t>
      </w:r>
    </w:p>
    <w:p w:rsidR="00040BCA" w:rsidRPr="00723765" w:rsidRDefault="00040BCA" w:rsidP="00040BCA">
      <w:pPr>
        <w:widowControl w:val="0"/>
        <w:numPr>
          <w:ilvl w:val="2"/>
          <w:numId w:val="6"/>
        </w:numPr>
        <w:tabs>
          <w:tab w:val="clear" w:pos="2160"/>
          <w:tab w:val="num" w:pos="1440"/>
        </w:tabs>
        <w:autoSpaceDE w:val="0"/>
        <w:autoSpaceDN w:val="0"/>
        <w:adjustRightInd w:val="0"/>
        <w:ind w:left="1440" w:right="132"/>
        <w:rPr>
          <w:i/>
        </w:rPr>
      </w:pPr>
      <w:r w:rsidRPr="00723765">
        <w:rPr>
          <w:rFonts w:cs="Arial"/>
          <w:i/>
          <w:color w:val="000000"/>
          <w:szCs w:val="20"/>
          <w:lang w:bidi="en-US"/>
        </w:rPr>
        <w:t xml:space="preserve">Variable presentation depending on extent of disease, typically presents with bloody diarrhea, fever, weight loss, </w:t>
      </w:r>
    </w:p>
    <w:p w:rsidR="00040BCA" w:rsidRPr="00723765" w:rsidRDefault="00040BCA" w:rsidP="00040BCA">
      <w:pPr>
        <w:widowControl w:val="0"/>
        <w:autoSpaceDE w:val="0"/>
        <w:autoSpaceDN w:val="0"/>
        <w:adjustRightInd w:val="0"/>
        <w:ind w:right="132"/>
        <w:jc w:val="both"/>
        <w:rPr>
          <w:i/>
        </w:rPr>
      </w:pPr>
    </w:p>
    <w:p w:rsidR="00040BCA" w:rsidRPr="004D4F35" w:rsidRDefault="00040BCA" w:rsidP="00040BCA">
      <w:pPr>
        <w:widowControl w:val="0"/>
        <w:autoSpaceDE w:val="0"/>
        <w:autoSpaceDN w:val="0"/>
        <w:adjustRightInd w:val="0"/>
        <w:spacing w:after="60"/>
        <w:ind w:right="132"/>
        <w:jc w:val="both"/>
        <w:rPr>
          <w:b/>
          <w:sz w:val="22"/>
        </w:rPr>
      </w:pPr>
      <w:r w:rsidRPr="004D4F35">
        <w:rPr>
          <w:b/>
          <w:sz w:val="22"/>
        </w:rPr>
        <w:t>References:</w:t>
      </w:r>
    </w:p>
    <w:p w:rsidR="00040BCA" w:rsidRPr="004D4F35" w:rsidRDefault="00040BCA" w:rsidP="00040BCA">
      <w:pPr>
        <w:widowControl w:val="0"/>
        <w:autoSpaceDE w:val="0"/>
        <w:autoSpaceDN w:val="0"/>
        <w:adjustRightInd w:val="0"/>
        <w:spacing w:after="60"/>
        <w:ind w:right="132"/>
        <w:jc w:val="both"/>
        <w:rPr>
          <w:sz w:val="20"/>
        </w:rPr>
      </w:pPr>
      <w:r w:rsidRPr="004D4F35">
        <w:rPr>
          <w:sz w:val="20"/>
        </w:rPr>
        <w:t xml:space="preserve">Wanke, CA. (2011). Approach to the adult with acute diarrhea in developed countries. In D.S. Basow (Ed.), UpToDate.  Retrieved from </w:t>
      </w:r>
      <w:hyperlink r:id="rId6" w:history="1">
        <w:r w:rsidRPr="004D4F35">
          <w:rPr>
            <w:rStyle w:val="Hyperlink"/>
            <w:sz w:val="20"/>
          </w:rPr>
          <w:t>http://www.uptodate.com/home/index.html</w:t>
        </w:r>
      </w:hyperlink>
    </w:p>
    <w:p w:rsidR="00040BCA" w:rsidRPr="004D4F35" w:rsidRDefault="00040BCA" w:rsidP="00040BCA">
      <w:pPr>
        <w:widowControl w:val="0"/>
        <w:autoSpaceDE w:val="0"/>
        <w:autoSpaceDN w:val="0"/>
        <w:adjustRightInd w:val="0"/>
        <w:spacing w:after="60"/>
        <w:ind w:right="132"/>
        <w:jc w:val="both"/>
        <w:rPr>
          <w:sz w:val="20"/>
        </w:rPr>
      </w:pPr>
      <w:r w:rsidRPr="004D4F35">
        <w:rPr>
          <w:sz w:val="20"/>
        </w:rPr>
        <w:t xml:space="preserve">Bonis, PA and LaMont, JT. (2011). Approach to the adult with chronic diarrhea in developed countries. In D.S. Basow (Ed.), UpToDate.  Retrieved from </w:t>
      </w:r>
      <w:hyperlink r:id="rId7" w:history="1">
        <w:r w:rsidRPr="004D4F35">
          <w:rPr>
            <w:rStyle w:val="Hyperlink"/>
            <w:sz w:val="20"/>
          </w:rPr>
          <w:t>http://www.uptodate.com/home/index.html</w:t>
        </w:r>
      </w:hyperlink>
    </w:p>
    <w:p w:rsidR="00040BCA" w:rsidRPr="004D4F35" w:rsidRDefault="00040BCA" w:rsidP="00040BCA">
      <w:pPr>
        <w:widowControl w:val="0"/>
        <w:autoSpaceDE w:val="0"/>
        <w:autoSpaceDN w:val="0"/>
        <w:adjustRightInd w:val="0"/>
        <w:spacing w:after="60"/>
        <w:ind w:right="132"/>
        <w:jc w:val="both"/>
        <w:rPr>
          <w:sz w:val="20"/>
        </w:rPr>
      </w:pPr>
      <w:r w:rsidRPr="004D4F35">
        <w:rPr>
          <w:sz w:val="20"/>
        </w:rPr>
        <w:t>http://emedicine.medscape.com/</w:t>
      </w:r>
    </w:p>
    <w:p w:rsidR="00040BCA" w:rsidRPr="004D4F35" w:rsidRDefault="00040BCA" w:rsidP="00040BCA">
      <w:pPr>
        <w:widowControl w:val="0"/>
        <w:autoSpaceDE w:val="0"/>
        <w:autoSpaceDN w:val="0"/>
        <w:adjustRightInd w:val="0"/>
        <w:spacing w:after="60"/>
        <w:ind w:right="132"/>
        <w:jc w:val="both"/>
        <w:rPr>
          <w:sz w:val="20"/>
        </w:rPr>
      </w:pPr>
      <w:r w:rsidRPr="004D4F35">
        <w:rPr>
          <w:sz w:val="20"/>
        </w:rPr>
        <w:t>Aberra, FN (2011). Clostridium difficile colitis. Retrieved from http://emedicine.medscape.com/</w:t>
      </w:r>
    </w:p>
    <w:p w:rsidR="00040BCA" w:rsidRPr="004D4F35" w:rsidRDefault="00040BCA" w:rsidP="00040BCA">
      <w:pPr>
        <w:widowControl w:val="0"/>
        <w:autoSpaceDE w:val="0"/>
        <w:autoSpaceDN w:val="0"/>
        <w:adjustRightInd w:val="0"/>
        <w:spacing w:after="60"/>
        <w:ind w:right="132"/>
        <w:jc w:val="both"/>
        <w:rPr>
          <w:sz w:val="20"/>
        </w:rPr>
      </w:pPr>
      <w:r w:rsidRPr="004D4F35">
        <w:rPr>
          <w:sz w:val="20"/>
        </w:rPr>
        <w:t>Guandalini, A. (2010). Diarrha.  Retrieved from http://emedicine.medscape.com/</w:t>
      </w:r>
    </w:p>
    <w:p w:rsidR="00040BCA" w:rsidRPr="004D4F35" w:rsidRDefault="00040BCA" w:rsidP="00040BCA">
      <w:pPr>
        <w:widowControl w:val="0"/>
        <w:autoSpaceDE w:val="0"/>
        <w:autoSpaceDN w:val="0"/>
        <w:adjustRightInd w:val="0"/>
        <w:spacing w:after="60"/>
        <w:ind w:right="132"/>
        <w:jc w:val="both"/>
        <w:rPr>
          <w:sz w:val="20"/>
        </w:rPr>
      </w:pPr>
      <w:r w:rsidRPr="004D4F35">
        <w:rPr>
          <w:sz w:val="20"/>
        </w:rPr>
        <w:t>Rowe. WA (2011). Inflammatory bowel disease. Retrieved from http://emedicine.medscape.com/</w:t>
      </w:r>
    </w:p>
    <w:p w:rsidR="00040BCA" w:rsidRPr="004D4F35" w:rsidRDefault="00040BCA" w:rsidP="00040BCA">
      <w:pPr>
        <w:widowControl w:val="0"/>
        <w:autoSpaceDE w:val="0"/>
        <w:autoSpaceDN w:val="0"/>
        <w:adjustRightInd w:val="0"/>
        <w:spacing w:after="60"/>
        <w:ind w:right="132"/>
        <w:jc w:val="both"/>
        <w:rPr>
          <w:sz w:val="20"/>
        </w:rPr>
      </w:pPr>
      <w:r w:rsidRPr="004D4F35">
        <w:rPr>
          <w:sz w:val="20"/>
        </w:rPr>
        <w:t>Therapeutic Choices Sixth edition.  Ottawa, Canadian Pharmacists Association. 2011.</w:t>
      </w:r>
    </w:p>
    <w:p w:rsidR="007929AE" w:rsidRDefault="007929AE">
      <w:bookmarkStart w:id="0" w:name="_GoBack"/>
      <w:bookmarkEnd w:id="0"/>
    </w:p>
    <w:sectPr w:rsidR="007929AE" w:rsidSect="00B759C3">
      <w:headerReference w:type="default" r:id="rId8"/>
      <w:pgSz w:w="12240" w:h="15840"/>
      <w:pgMar w:top="1440" w:right="162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C3" w:rsidRDefault="00040BCA">
    <w:pPr>
      <w:pStyle w:val="Header"/>
    </w:pPr>
    <w:r>
      <w:t xml:space="preserve">99 Priority Topics in Family Medicine 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759C3" w:rsidRPr="00273366" w:rsidRDefault="00040BCA">
    <w:pPr>
      <w:pStyle w:val="Header"/>
      <w:rPr>
        <w:b/>
        <w:sz w:val="28"/>
      </w:rPr>
    </w:pPr>
    <w:r w:rsidRPr="00273366">
      <w:rPr>
        <w:b/>
        <w:sz w:val="28"/>
      </w:rPr>
      <w:t>26. DIARRHEA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75A"/>
    <w:multiLevelType w:val="hybridMultilevel"/>
    <w:tmpl w:val="B24ED8DA"/>
    <w:lvl w:ilvl="0" w:tplc="0003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41B2D"/>
    <w:multiLevelType w:val="hybridMultilevel"/>
    <w:tmpl w:val="B7D05D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02CF4"/>
    <w:multiLevelType w:val="hybridMultilevel"/>
    <w:tmpl w:val="A6966FC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B07EB"/>
    <w:multiLevelType w:val="hybridMultilevel"/>
    <w:tmpl w:val="5E8A6E0C"/>
    <w:lvl w:ilvl="0" w:tplc="0003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4828B4"/>
    <w:multiLevelType w:val="hybridMultilevel"/>
    <w:tmpl w:val="574A3A3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173D7"/>
    <w:multiLevelType w:val="hybridMultilevel"/>
    <w:tmpl w:val="8C2255A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04411D2"/>
    <w:multiLevelType w:val="hybridMultilevel"/>
    <w:tmpl w:val="E14E278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34B0058"/>
    <w:multiLevelType w:val="hybridMultilevel"/>
    <w:tmpl w:val="DF86B64E"/>
    <w:lvl w:ilvl="0" w:tplc="0003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CA"/>
    <w:rsid w:val="00040BCA"/>
    <w:rsid w:val="007929AE"/>
    <w:rsid w:val="007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40BCA"/>
    <w:rPr>
      <w:i/>
    </w:rPr>
  </w:style>
  <w:style w:type="character" w:styleId="Hyperlink">
    <w:name w:val="Hyperlink"/>
    <w:basedOn w:val="DefaultParagraphFont"/>
    <w:rsid w:val="00040BCA"/>
    <w:rPr>
      <w:color w:val="0000FF"/>
      <w:u w:val="single"/>
    </w:rPr>
  </w:style>
  <w:style w:type="paragraph" w:styleId="Header">
    <w:name w:val="header"/>
    <w:basedOn w:val="Normal"/>
    <w:link w:val="HeaderChar"/>
    <w:rsid w:val="00040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0BC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0B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40BCA"/>
    <w:rPr>
      <w:i/>
    </w:rPr>
  </w:style>
  <w:style w:type="character" w:styleId="Hyperlink">
    <w:name w:val="Hyperlink"/>
    <w:basedOn w:val="DefaultParagraphFont"/>
    <w:rsid w:val="00040BCA"/>
    <w:rPr>
      <w:color w:val="0000FF"/>
      <w:u w:val="single"/>
    </w:rPr>
  </w:style>
  <w:style w:type="paragraph" w:styleId="Header">
    <w:name w:val="header"/>
    <w:basedOn w:val="Normal"/>
    <w:link w:val="HeaderChar"/>
    <w:rsid w:val="00040B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0BC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0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ptodate.com/home/index.html" TargetMode="External"/><Relationship Id="rId7" Type="http://schemas.openxmlformats.org/officeDocument/2006/relationships/hyperlink" Target="http://www.uptodate.com/home/index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5763</Characters>
  <Application>Microsoft Macintosh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2012-05-26T03:07:00Z</dcterms:created>
  <dcterms:modified xsi:type="dcterms:W3CDTF">2012-05-26T03:07:00Z</dcterms:modified>
</cp:coreProperties>
</file>