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F7A" w:rsidRPr="008706F4" w:rsidRDefault="00B73E3D" w:rsidP="00D04508">
      <w:pPr>
        <w:jc w:val="center"/>
        <w:rPr>
          <w:rFonts w:cstheme="minorHAnsi"/>
          <w:b/>
          <w:sz w:val="28"/>
          <w:szCs w:val="28"/>
          <w:lang w:val="en-CA"/>
        </w:rPr>
      </w:pPr>
      <w:bookmarkStart w:id="0" w:name="_GoBack"/>
      <w:bookmarkEnd w:id="0"/>
      <w:r w:rsidRPr="008706F4">
        <w:rPr>
          <w:rFonts w:cstheme="minorHAnsi"/>
          <w:b/>
          <w:sz w:val="28"/>
          <w:szCs w:val="28"/>
          <w:lang w:val="en-CA"/>
        </w:rPr>
        <w:t>American Chemical Society</w:t>
      </w:r>
      <w:r w:rsidR="008706F4">
        <w:rPr>
          <w:rFonts w:cstheme="minorHAnsi"/>
          <w:b/>
          <w:sz w:val="28"/>
          <w:szCs w:val="28"/>
          <w:lang w:val="en-CA"/>
        </w:rPr>
        <w:t xml:space="preserve"> E-Journal</w:t>
      </w:r>
      <w:r w:rsidRPr="008706F4">
        <w:rPr>
          <w:rFonts w:cstheme="minorHAnsi"/>
          <w:b/>
          <w:sz w:val="28"/>
          <w:szCs w:val="28"/>
          <w:lang w:val="en-CA"/>
        </w:rPr>
        <w:t xml:space="preserve"> License</w:t>
      </w:r>
    </w:p>
    <w:p w:rsidR="00977AE0" w:rsidRPr="008706F4" w:rsidRDefault="00977AE0">
      <w:pPr>
        <w:rPr>
          <w:rFonts w:cstheme="minorHAnsi"/>
          <w:b/>
          <w:sz w:val="24"/>
          <w:szCs w:val="24"/>
          <w:u w:val="single"/>
        </w:rPr>
      </w:pPr>
      <w:r w:rsidRPr="008706F4">
        <w:rPr>
          <w:rFonts w:cstheme="minorHAnsi"/>
          <w:b/>
          <w:sz w:val="24"/>
          <w:szCs w:val="24"/>
          <w:u w:val="single"/>
        </w:rPr>
        <w:t>Issue:</w:t>
      </w:r>
    </w:p>
    <w:p w:rsidR="008706F4" w:rsidRPr="008706F4" w:rsidRDefault="00772A39" w:rsidP="008706F4">
      <w:pPr>
        <w:rPr>
          <w:sz w:val="24"/>
          <w:szCs w:val="24"/>
        </w:rPr>
      </w:pPr>
      <w:r w:rsidRPr="008706F4">
        <w:rPr>
          <w:sz w:val="24"/>
          <w:szCs w:val="24"/>
        </w:rPr>
        <w:t>The Canadian Research Knowledge Network (</w:t>
      </w:r>
      <w:r w:rsidR="00D536C3" w:rsidRPr="008706F4">
        <w:rPr>
          <w:sz w:val="24"/>
          <w:szCs w:val="24"/>
        </w:rPr>
        <w:t>CRKN</w:t>
      </w:r>
      <w:r w:rsidRPr="008706F4">
        <w:rPr>
          <w:sz w:val="24"/>
          <w:szCs w:val="24"/>
        </w:rPr>
        <w:t>)</w:t>
      </w:r>
      <w:r w:rsidR="00B73E3D" w:rsidRPr="008706F4">
        <w:rPr>
          <w:sz w:val="24"/>
          <w:szCs w:val="24"/>
        </w:rPr>
        <w:t xml:space="preserve"> </w:t>
      </w:r>
      <w:r w:rsidR="00D536C3" w:rsidRPr="008706F4">
        <w:rPr>
          <w:sz w:val="24"/>
          <w:szCs w:val="24"/>
        </w:rPr>
        <w:t xml:space="preserve">has decided to terminate the national </w:t>
      </w:r>
      <w:r w:rsidR="00DE5B4A" w:rsidRPr="008706F4">
        <w:rPr>
          <w:sz w:val="24"/>
          <w:szCs w:val="24"/>
        </w:rPr>
        <w:t xml:space="preserve">e-journal </w:t>
      </w:r>
      <w:r w:rsidR="00D536C3" w:rsidRPr="008706F4">
        <w:rPr>
          <w:sz w:val="24"/>
          <w:szCs w:val="24"/>
        </w:rPr>
        <w:t>license agreement</w:t>
      </w:r>
      <w:r w:rsidR="00DE5B4A" w:rsidRPr="008706F4">
        <w:rPr>
          <w:sz w:val="24"/>
          <w:szCs w:val="24"/>
        </w:rPr>
        <w:t xml:space="preserve"> with the American Chemical Society</w:t>
      </w:r>
      <w:r w:rsidR="00D536C3" w:rsidRPr="008706F4">
        <w:rPr>
          <w:sz w:val="24"/>
          <w:szCs w:val="24"/>
        </w:rPr>
        <w:t xml:space="preserve">. CRKN has had an agreement </w:t>
      </w:r>
      <w:r w:rsidR="008706F4" w:rsidRPr="008706F4">
        <w:rPr>
          <w:sz w:val="24"/>
          <w:szCs w:val="24"/>
        </w:rPr>
        <w:t xml:space="preserve">with ACS </w:t>
      </w:r>
      <w:r w:rsidR="00D536C3" w:rsidRPr="008706F4">
        <w:rPr>
          <w:sz w:val="24"/>
          <w:szCs w:val="24"/>
        </w:rPr>
        <w:t>since 2001. Th</w:t>
      </w:r>
      <w:r w:rsidR="008706F4" w:rsidRPr="008706F4">
        <w:rPr>
          <w:sz w:val="24"/>
          <w:szCs w:val="24"/>
        </w:rPr>
        <w:t xml:space="preserve">e termination of the license </w:t>
      </w:r>
      <w:r w:rsidR="00D536C3" w:rsidRPr="008706F4">
        <w:rPr>
          <w:sz w:val="24"/>
          <w:szCs w:val="24"/>
        </w:rPr>
        <w:t xml:space="preserve">will take effect at the end of 2013.  The current agreement covers the period 2010-2012 and ends Dec 31, 2012. </w:t>
      </w:r>
      <w:r w:rsidR="008706F4" w:rsidRPr="008706F4">
        <w:rPr>
          <w:sz w:val="24"/>
          <w:szCs w:val="24"/>
        </w:rPr>
        <w:t xml:space="preserve"> Sixty six</w:t>
      </w:r>
      <w:r w:rsidR="00D536C3" w:rsidRPr="008706F4">
        <w:rPr>
          <w:sz w:val="24"/>
          <w:szCs w:val="24"/>
        </w:rPr>
        <w:t xml:space="preserve"> </w:t>
      </w:r>
      <w:r w:rsidR="008706F4" w:rsidRPr="008706F4">
        <w:rPr>
          <w:sz w:val="24"/>
          <w:szCs w:val="24"/>
        </w:rPr>
        <w:t xml:space="preserve">Canadian </w:t>
      </w:r>
      <w:r w:rsidR="00D536C3" w:rsidRPr="008706F4">
        <w:rPr>
          <w:sz w:val="24"/>
          <w:szCs w:val="24"/>
        </w:rPr>
        <w:t xml:space="preserve">universities participate in </w:t>
      </w:r>
      <w:r w:rsidR="00DE5B4A" w:rsidRPr="008706F4">
        <w:rPr>
          <w:sz w:val="24"/>
          <w:szCs w:val="24"/>
        </w:rPr>
        <w:t>the current e-journal “W</w:t>
      </w:r>
      <w:r w:rsidR="00D536C3" w:rsidRPr="008706F4">
        <w:rPr>
          <w:sz w:val="24"/>
          <w:szCs w:val="24"/>
        </w:rPr>
        <w:t>eb editions</w:t>
      </w:r>
      <w:r w:rsidR="00DE5B4A" w:rsidRPr="008706F4">
        <w:rPr>
          <w:sz w:val="24"/>
          <w:szCs w:val="24"/>
        </w:rPr>
        <w:t>”</w:t>
      </w:r>
      <w:r w:rsidR="008706F4" w:rsidRPr="008706F4">
        <w:rPr>
          <w:sz w:val="24"/>
          <w:szCs w:val="24"/>
        </w:rPr>
        <w:t xml:space="preserve">. This is </w:t>
      </w:r>
      <w:proofErr w:type="spellStart"/>
      <w:r w:rsidR="008706F4" w:rsidRPr="008706F4">
        <w:rPr>
          <w:sz w:val="24"/>
          <w:szCs w:val="24"/>
        </w:rPr>
        <w:t>fulltext</w:t>
      </w:r>
      <w:proofErr w:type="spellEnd"/>
      <w:r w:rsidR="008706F4" w:rsidRPr="008706F4">
        <w:rPr>
          <w:sz w:val="24"/>
          <w:szCs w:val="24"/>
        </w:rPr>
        <w:t xml:space="preserve"> access to 36 ACS journals from 1996 to present.  Fifty seven Canadian institutions participate</w:t>
      </w:r>
      <w:r w:rsidR="00D536C3" w:rsidRPr="008706F4">
        <w:rPr>
          <w:sz w:val="24"/>
          <w:szCs w:val="24"/>
        </w:rPr>
        <w:t xml:space="preserve"> in </w:t>
      </w:r>
      <w:r w:rsidR="008706F4" w:rsidRPr="008706F4">
        <w:rPr>
          <w:sz w:val="24"/>
          <w:szCs w:val="24"/>
        </w:rPr>
        <w:t xml:space="preserve">the </w:t>
      </w:r>
      <w:r w:rsidR="00DE5B4A" w:rsidRPr="008706F4">
        <w:rPr>
          <w:sz w:val="24"/>
          <w:szCs w:val="24"/>
        </w:rPr>
        <w:t>e-journal archive product “</w:t>
      </w:r>
      <w:r w:rsidR="00D536C3" w:rsidRPr="008706F4">
        <w:rPr>
          <w:sz w:val="24"/>
          <w:szCs w:val="24"/>
        </w:rPr>
        <w:t>Legacy Archives</w:t>
      </w:r>
      <w:r w:rsidR="00DE5B4A" w:rsidRPr="008706F4">
        <w:rPr>
          <w:sz w:val="24"/>
          <w:szCs w:val="24"/>
        </w:rPr>
        <w:t>”</w:t>
      </w:r>
      <w:r w:rsidR="00D536C3" w:rsidRPr="008706F4">
        <w:rPr>
          <w:sz w:val="24"/>
          <w:szCs w:val="24"/>
        </w:rPr>
        <w:t xml:space="preserve">. </w:t>
      </w:r>
      <w:r w:rsidR="008706F4" w:rsidRPr="008706F4">
        <w:rPr>
          <w:sz w:val="24"/>
          <w:szCs w:val="24"/>
        </w:rPr>
        <w:t xml:space="preserve"> The coverage for the “Legacy Archive” is from 1879 to 1995. </w:t>
      </w:r>
      <w:r w:rsidR="00D536C3" w:rsidRPr="008706F4">
        <w:rPr>
          <w:sz w:val="24"/>
          <w:szCs w:val="24"/>
        </w:rPr>
        <w:t>The discussions for the renewal for 2013-2015</w:t>
      </w:r>
      <w:r w:rsidR="0012218A" w:rsidRPr="008706F4">
        <w:rPr>
          <w:sz w:val="24"/>
          <w:szCs w:val="24"/>
        </w:rPr>
        <w:t>, were not fruitful and ACS was only willing to freeze pricing within</w:t>
      </w:r>
      <w:r w:rsidR="008706F4" w:rsidRPr="008706F4">
        <w:rPr>
          <w:sz w:val="24"/>
          <w:szCs w:val="24"/>
        </w:rPr>
        <w:t xml:space="preserve"> the new proposed usage</w:t>
      </w:r>
      <w:r w:rsidR="0012218A" w:rsidRPr="008706F4">
        <w:rPr>
          <w:sz w:val="24"/>
          <w:szCs w:val="24"/>
        </w:rPr>
        <w:t xml:space="preserve"> bands for 2013-15</w:t>
      </w:r>
      <w:r w:rsidR="00DE5B4A" w:rsidRPr="008706F4">
        <w:rPr>
          <w:sz w:val="24"/>
          <w:szCs w:val="24"/>
        </w:rPr>
        <w:t>.</w:t>
      </w:r>
      <w:r w:rsidR="0012218A" w:rsidRPr="008706F4">
        <w:rPr>
          <w:sz w:val="24"/>
          <w:szCs w:val="24"/>
        </w:rPr>
        <w:t xml:space="preserve"> </w:t>
      </w:r>
    </w:p>
    <w:p w:rsidR="008706F4" w:rsidRPr="008706F4" w:rsidRDefault="008706F4" w:rsidP="008706F4">
      <w:pPr>
        <w:pStyle w:val="Default"/>
        <w:rPr>
          <w:rFonts w:asciiTheme="minorHAnsi" w:hAnsiTheme="minorHAnsi" w:cstheme="minorHAnsi"/>
        </w:rPr>
      </w:pPr>
    </w:p>
    <w:p w:rsidR="00977AE0" w:rsidRPr="008706F4" w:rsidRDefault="00977AE0">
      <w:pPr>
        <w:rPr>
          <w:rFonts w:cstheme="minorHAnsi"/>
          <w:b/>
          <w:sz w:val="24"/>
          <w:szCs w:val="24"/>
          <w:u w:val="single"/>
        </w:rPr>
      </w:pPr>
      <w:r w:rsidRPr="008706F4">
        <w:rPr>
          <w:rFonts w:cstheme="minorHAnsi"/>
          <w:b/>
          <w:sz w:val="24"/>
          <w:szCs w:val="24"/>
          <w:u w:val="single"/>
        </w:rPr>
        <w:t>New Pricing Model based on Usage:</w:t>
      </w:r>
    </w:p>
    <w:p w:rsidR="00D536C3" w:rsidRPr="008706F4" w:rsidRDefault="00D536C3">
      <w:pPr>
        <w:rPr>
          <w:rFonts w:cstheme="minorHAnsi"/>
          <w:sz w:val="24"/>
          <w:szCs w:val="24"/>
        </w:rPr>
      </w:pPr>
      <w:r w:rsidRPr="008706F4">
        <w:rPr>
          <w:rFonts w:cstheme="minorHAnsi"/>
          <w:sz w:val="24"/>
          <w:szCs w:val="24"/>
        </w:rPr>
        <w:t>The</w:t>
      </w:r>
      <w:r w:rsidR="0012218A" w:rsidRPr="008706F4">
        <w:rPr>
          <w:rFonts w:cstheme="minorHAnsi"/>
          <w:sz w:val="24"/>
          <w:szCs w:val="24"/>
        </w:rPr>
        <w:t xml:space="preserve"> ACS Board of Directors has man</w:t>
      </w:r>
      <w:r w:rsidRPr="008706F4">
        <w:rPr>
          <w:rFonts w:cstheme="minorHAnsi"/>
          <w:sz w:val="24"/>
          <w:szCs w:val="24"/>
        </w:rPr>
        <w:t xml:space="preserve">dated for international (non-US consortia) a new pricing model. Under this new model coasts for participant institutions will be determined solely on usage, using the average number of </w:t>
      </w:r>
      <w:proofErr w:type="spellStart"/>
      <w:r w:rsidRPr="008706F4">
        <w:rPr>
          <w:rFonts w:cstheme="minorHAnsi"/>
          <w:sz w:val="24"/>
          <w:szCs w:val="24"/>
        </w:rPr>
        <w:t>fulltext</w:t>
      </w:r>
      <w:proofErr w:type="spellEnd"/>
      <w:r w:rsidRPr="008706F4">
        <w:rPr>
          <w:rFonts w:cstheme="minorHAnsi"/>
          <w:sz w:val="24"/>
          <w:szCs w:val="24"/>
        </w:rPr>
        <w:t xml:space="preserve"> downloads from most recent 3 years,</w:t>
      </w:r>
      <w:r w:rsidR="00DE5B4A" w:rsidRPr="008706F4">
        <w:rPr>
          <w:rFonts w:cstheme="minorHAnsi"/>
          <w:sz w:val="24"/>
          <w:szCs w:val="24"/>
        </w:rPr>
        <w:t xml:space="preserve"> which </w:t>
      </w:r>
      <w:r w:rsidR="008706F4" w:rsidRPr="008706F4">
        <w:rPr>
          <w:rFonts w:cstheme="minorHAnsi"/>
          <w:sz w:val="24"/>
          <w:szCs w:val="24"/>
        </w:rPr>
        <w:t>is organized</w:t>
      </w:r>
      <w:r w:rsidRPr="008706F4">
        <w:rPr>
          <w:rFonts w:cstheme="minorHAnsi"/>
          <w:sz w:val="24"/>
          <w:szCs w:val="24"/>
        </w:rPr>
        <w:t xml:space="preserve"> into usage bands. This pricing model introduces significant unpredictability in pricing with the risk that any increase in usage that moves a participant into a higher us</w:t>
      </w:r>
      <w:r w:rsidR="0012218A" w:rsidRPr="008706F4">
        <w:rPr>
          <w:rFonts w:cstheme="minorHAnsi"/>
          <w:sz w:val="24"/>
          <w:szCs w:val="24"/>
        </w:rPr>
        <w:t>age band could result in a hu</w:t>
      </w:r>
      <w:r w:rsidRPr="008706F4">
        <w:rPr>
          <w:rFonts w:cstheme="minorHAnsi"/>
          <w:sz w:val="24"/>
          <w:szCs w:val="24"/>
        </w:rPr>
        <w:t>ge price increase and would be unsustainable for that institution.</w:t>
      </w:r>
      <w:r w:rsidR="007C1689" w:rsidRPr="008706F4">
        <w:rPr>
          <w:rFonts w:cstheme="minorHAnsi"/>
          <w:sz w:val="24"/>
          <w:szCs w:val="24"/>
        </w:rPr>
        <w:t xml:space="preserve"> New bands can be created as usage changes.</w:t>
      </w:r>
      <w:r w:rsidR="00DE5B4A" w:rsidRPr="008706F4">
        <w:rPr>
          <w:rFonts w:cstheme="minorHAnsi"/>
          <w:sz w:val="24"/>
          <w:szCs w:val="24"/>
        </w:rPr>
        <w:t xml:space="preserve"> No other international consortia have successfully implemented ACS’s new pricing model.</w:t>
      </w:r>
    </w:p>
    <w:p w:rsidR="00977AE0" w:rsidRPr="008706F4" w:rsidRDefault="00977AE0">
      <w:pPr>
        <w:rPr>
          <w:rFonts w:cstheme="minorHAnsi"/>
          <w:b/>
          <w:sz w:val="24"/>
          <w:szCs w:val="24"/>
          <w:u w:val="single"/>
        </w:rPr>
      </w:pPr>
      <w:r w:rsidRPr="008706F4">
        <w:rPr>
          <w:rFonts w:cstheme="minorHAnsi"/>
          <w:b/>
          <w:sz w:val="24"/>
          <w:szCs w:val="24"/>
          <w:u w:val="single"/>
        </w:rPr>
        <w:t>Content and Cost (Past and Future):</w:t>
      </w:r>
    </w:p>
    <w:p w:rsidR="007C1689" w:rsidRPr="008706F4" w:rsidRDefault="00D536C3" w:rsidP="00DE5B4A">
      <w:pPr>
        <w:rPr>
          <w:rFonts w:cstheme="minorHAnsi"/>
          <w:sz w:val="24"/>
          <w:szCs w:val="24"/>
        </w:rPr>
      </w:pPr>
      <w:r w:rsidRPr="008706F4">
        <w:rPr>
          <w:rFonts w:cstheme="minorHAnsi"/>
          <w:sz w:val="24"/>
          <w:szCs w:val="24"/>
        </w:rPr>
        <w:t>For 2012-2013</w:t>
      </w:r>
      <w:r w:rsidR="00D04508" w:rsidRPr="008706F4">
        <w:rPr>
          <w:rFonts w:cstheme="minorHAnsi"/>
          <w:sz w:val="24"/>
          <w:szCs w:val="24"/>
        </w:rPr>
        <w:t xml:space="preserve">, there was a </w:t>
      </w:r>
      <w:r w:rsidRPr="008706F4">
        <w:rPr>
          <w:rFonts w:cstheme="minorHAnsi"/>
          <w:sz w:val="24"/>
          <w:szCs w:val="24"/>
        </w:rPr>
        <w:t xml:space="preserve">5 % increase </w:t>
      </w:r>
      <w:proofErr w:type="gramStart"/>
      <w:r w:rsidRPr="008706F4">
        <w:rPr>
          <w:rFonts w:cstheme="minorHAnsi"/>
          <w:sz w:val="24"/>
          <w:szCs w:val="24"/>
        </w:rPr>
        <w:t xml:space="preserve">for </w:t>
      </w:r>
      <w:r w:rsidR="008706F4">
        <w:rPr>
          <w:rFonts w:cstheme="minorHAnsi"/>
          <w:sz w:val="24"/>
          <w:szCs w:val="24"/>
        </w:rPr>
        <w:t xml:space="preserve"> both</w:t>
      </w:r>
      <w:proofErr w:type="gramEnd"/>
      <w:r w:rsidR="008706F4">
        <w:rPr>
          <w:rFonts w:cstheme="minorHAnsi"/>
          <w:sz w:val="24"/>
          <w:szCs w:val="24"/>
        </w:rPr>
        <w:t xml:space="preserve"> products</w:t>
      </w:r>
      <w:r w:rsidR="00D04508" w:rsidRPr="008706F4">
        <w:rPr>
          <w:rFonts w:cstheme="minorHAnsi"/>
          <w:sz w:val="24"/>
          <w:szCs w:val="24"/>
        </w:rPr>
        <w:t>. There are additional costs for ACS titles that are excluded.</w:t>
      </w:r>
      <w:r w:rsidR="00FB1FAE" w:rsidRPr="008706F4">
        <w:rPr>
          <w:rFonts w:cstheme="minorHAnsi"/>
          <w:sz w:val="24"/>
          <w:szCs w:val="24"/>
        </w:rPr>
        <w:t xml:space="preserve"> </w:t>
      </w:r>
      <w:r w:rsidR="00DE5B4A" w:rsidRPr="008706F4">
        <w:rPr>
          <w:rFonts w:cstheme="minorHAnsi"/>
          <w:sz w:val="24"/>
          <w:szCs w:val="24"/>
        </w:rPr>
        <w:t xml:space="preserve"> These titles include: </w:t>
      </w:r>
      <w:r w:rsidR="007C1689" w:rsidRPr="008706F4">
        <w:rPr>
          <w:rFonts w:eastAsia="Times New Roman" w:cstheme="minorHAnsi"/>
          <w:sz w:val="24"/>
          <w:szCs w:val="24"/>
        </w:rPr>
        <w:t>ACS Catalysis</w:t>
      </w:r>
      <w:r w:rsidR="00DE5B4A" w:rsidRPr="008706F4">
        <w:rPr>
          <w:rFonts w:cstheme="minorHAnsi"/>
          <w:sz w:val="24"/>
          <w:szCs w:val="24"/>
        </w:rPr>
        <w:t xml:space="preserve">, </w:t>
      </w:r>
      <w:r w:rsidR="007C1689" w:rsidRPr="008706F4">
        <w:rPr>
          <w:rFonts w:eastAsia="Times New Roman" w:cstheme="minorHAnsi"/>
          <w:sz w:val="24"/>
          <w:szCs w:val="24"/>
        </w:rPr>
        <w:t>ACS Medical Chemistry Letters</w:t>
      </w:r>
      <w:r w:rsidR="00DE5B4A" w:rsidRPr="008706F4">
        <w:rPr>
          <w:rFonts w:cstheme="minorHAnsi"/>
          <w:sz w:val="24"/>
          <w:szCs w:val="24"/>
        </w:rPr>
        <w:t xml:space="preserve">, </w:t>
      </w:r>
      <w:r w:rsidR="007C1689" w:rsidRPr="008706F4">
        <w:rPr>
          <w:rFonts w:eastAsia="Times New Roman" w:cstheme="minorHAnsi"/>
          <w:sz w:val="24"/>
          <w:szCs w:val="24"/>
        </w:rPr>
        <w:t>Journal of Chemical Education</w:t>
      </w:r>
      <w:r w:rsidR="00DE5B4A" w:rsidRPr="008706F4">
        <w:rPr>
          <w:rFonts w:cstheme="minorHAnsi"/>
          <w:sz w:val="24"/>
          <w:szCs w:val="24"/>
        </w:rPr>
        <w:t xml:space="preserve"> and </w:t>
      </w:r>
      <w:r w:rsidR="007C1689" w:rsidRPr="008706F4">
        <w:rPr>
          <w:rFonts w:cstheme="minorHAnsi"/>
          <w:sz w:val="24"/>
          <w:szCs w:val="24"/>
        </w:rPr>
        <w:t>Chemical &amp; Engineering News</w:t>
      </w:r>
      <w:r w:rsidR="00DE5B4A" w:rsidRPr="008706F4">
        <w:rPr>
          <w:rFonts w:cstheme="minorHAnsi"/>
          <w:sz w:val="24"/>
          <w:szCs w:val="24"/>
        </w:rPr>
        <w:t>.</w:t>
      </w:r>
      <w:r w:rsidR="007C1689" w:rsidRPr="008706F4">
        <w:rPr>
          <w:rFonts w:cstheme="minorHAnsi"/>
          <w:sz w:val="24"/>
          <w:szCs w:val="24"/>
        </w:rPr>
        <w:t xml:space="preserve"> </w:t>
      </w:r>
    </w:p>
    <w:p w:rsidR="00B73E3D" w:rsidRPr="008706F4" w:rsidRDefault="007424AA">
      <w:pPr>
        <w:rPr>
          <w:rFonts w:cstheme="minorHAnsi"/>
          <w:sz w:val="24"/>
          <w:szCs w:val="24"/>
        </w:rPr>
      </w:pPr>
      <w:r w:rsidRPr="008706F4">
        <w:rPr>
          <w:rFonts w:cstheme="minorHAnsi"/>
          <w:sz w:val="24"/>
          <w:szCs w:val="24"/>
        </w:rPr>
        <w:t>T</w:t>
      </w:r>
      <w:r w:rsidR="00790D17" w:rsidRPr="008706F4">
        <w:rPr>
          <w:rFonts w:cstheme="minorHAnsi"/>
          <w:sz w:val="24"/>
          <w:szCs w:val="24"/>
        </w:rPr>
        <w:t xml:space="preserve">he transition year will be administered and billed through CRKN.  </w:t>
      </w:r>
      <w:r w:rsidR="00DE5B4A" w:rsidRPr="008706F4">
        <w:rPr>
          <w:rFonts w:cstheme="minorHAnsi"/>
          <w:sz w:val="24"/>
          <w:szCs w:val="24"/>
        </w:rPr>
        <w:t>UBC Library will commit to this final year</w:t>
      </w:r>
      <w:r w:rsidR="008706F4">
        <w:rPr>
          <w:rFonts w:cstheme="minorHAnsi"/>
          <w:sz w:val="24"/>
          <w:szCs w:val="24"/>
        </w:rPr>
        <w:t xml:space="preserve"> renewal</w:t>
      </w:r>
      <w:r w:rsidR="00DE5B4A" w:rsidRPr="008706F4">
        <w:rPr>
          <w:rFonts w:cstheme="minorHAnsi"/>
          <w:sz w:val="24"/>
          <w:szCs w:val="24"/>
        </w:rPr>
        <w:t xml:space="preserve">. </w:t>
      </w:r>
      <w:r w:rsidR="00D04508" w:rsidRPr="008706F4">
        <w:rPr>
          <w:rFonts w:cstheme="minorHAnsi"/>
          <w:sz w:val="24"/>
          <w:szCs w:val="24"/>
        </w:rPr>
        <w:t>The increase will be 5%</w:t>
      </w:r>
      <w:r w:rsidR="008706F4">
        <w:rPr>
          <w:rFonts w:cstheme="minorHAnsi"/>
          <w:sz w:val="24"/>
          <w:szCs w:val="24"/>
        </w:rPr>
        <w:t>, for a cost of $94,690.23 for Web E</w:t>
      </w:r>
      <w:r w:rsidR="00D04508" w:rsidRPr="008706F4">
        <w:rPr>
          <w:rFonts w:cstheme="minorHAnsi"/>
          <w:sz w:val="24"/>
          <w:szCs w:val="24"/>
        </w:rPr>
        <w:t>dition</w:t>
      </w:r>
      <w:r w:rsidR="008706F4">
        <w:rPr>
          <w:rFonts w:cstheme="minorHAnsi"/>
          <w:sz w:val="24"/>
          <w:szCs w:val="24"/>
        </w:rPr>
        <w:t>s and $5,560.30 for the Legacy A</w:t>
      </w:r>
      <w:r w:rsidR="00D04508" w:rsidRPr="008706F4">
        <w:rPr>
          <w:rFonts w:cstheme="minorHAnsi"/>
          <w:sz w:val="24"/>
          <w:szCs w:val="24"/>
        </w:rPr>
        <w:t>rchives.</w:t>
      </w:r>
      <w:r w:rsidR="00790D17" w:rsidRPr="008706F4">
        <w:rPr>
          <w:rFonts w:cstheme="minorHAnsi"/>
          <w:sz w:val="24"/>
          <w:szCs w:val="24"/>
        </w:rPr>
        <w:t xml:space="preserve">  </w:t>
      </w:r>
      <w:r w:rsidR="00DE5B4A" w:rsidRPr="008706F4">
        <w:rPr>
          <w:rFonts w:cstheme="minorHAnsi"/>
          <w:sz w:val="24"/>
          <w:szCs w:val="24"/>
        </w:rPr>
        <w:t>A decision will need to be discussed and agreed upon for future access.</w:t>
      </w:r>
    </w:p>
    <w:p w:rsidR="00D04508" w:rsidRPr="008706F4" w:rsidRDefault="00D04508">
      <w:pPr>
        <w:rPr>
          <w:rFonts w:cstheme="minorHAnsi"/>
          <w:b/>
          <w:sz w:val="24"/>
          <w:szCs w:val="24"/>
          <w:u w:val="single"/>
        </w:rPr>
      </w:pPr>
      <w:r w:rsidRPr="008706F4">
        <w:rPr>
          <w:rFonts w:cstheme="minorHAnsi"/>
          <w:b/>
          <w:sz w:val="24"/>
          <w:szCs w:val="24"/>
          <w:u w:val="single"/>
        </w:rPr>
        <w:t>Cost History 2009-2012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88"/>
        <w:gridCol w:w="1080"/>
        <w:gridCol w:w="1260"/>
        <w:gridCol w:w="1170"/>
        <w:gridCol w:w="1242"/>
        <w:gridCol w:w="1172"/>
        <w:gridCol w:w="1172"/>
        <w:gridCol w:w="1292"/>
      </w:tblGrid>
      <w:tr w:rsidR="00F93316" w:rsidTr="009F38FD">
        <w:tc>
          <w:tcPr>
            <w:tcW w:w="1188" w:type="dxa"/>
          </w:tcPr>
          <w:p w:rsidR="00F93316" w:rsidRPr="00D96094" w:rsidRDefault="00F93316" w:rsidP="009F38FD">
            <w:pPr>
              <w:rPr>
                <w:rFonts w:cstheme="minorHAnsi"/>
                <w:sz w:val="20"/>
                <w:szCs w:val="20"/>
              </w:rPr>
            </w:pPr>
            <w:r w:rsidRPr="00D96094">
              <w:rPr>
                <w:rFonts w:cstheme="minorHAnsi"/>
                <w:sz w:val="20"/>
                <w:szCs w:val="20"/>
              </w:rPr>
              <w:t>Resource</w:t>
            </w:r>
          </w:p>
        </w:tc>
        <w:tc>
          <w:tcPr>
            <w:tcW w:w="1080" w:type="dxa"/>
          </w:tcPr>
          <w:p w:rsidR="00F93316" w:rsidRPr="00D96094" w:rsidRDefault="00F93316" w:rsidP="009F38FD">
            <w:pPr>
              <w:rPr>
                <w:rFonts w:cstheme="minorHAnsi"/>
                <w:sz w:val="20"/>
                <w:szCs w:val="20"/>
              </w:rPr>
            </w:pPr>
            <w:r w:rsidRPr="00D96094">
              <w:rPr>
                <w:rFonts w:cstheme="minorHAnsi"/>
                <w:sz w:val="20"/>
                <w:szCs w:val="20"/>
              </w:rPr>
              <w:t>Research metric</w:t>
            </w:r>
          </w:p>
        </w:tc>
        <w:tc>
          <w:tcPr>
            <w:tcW w:w="1260" w:type="dxa"/>
          </w:tcPr>
          <w:p w:rsidR="00F93316" w:rsidRPr="00D96094" w:rsidRDefault="00F93316" w:rsidP="009F38FD">
            <w:pPr>
              <w:rPr>
                <w:rFonts w:cstheme="minorHAnsi"/>
                <w:sz w:val="20"/>
                <w:szCs w:val="20"/>
              </w:rPr>
            </w:pPr>
            <w:r w:rsidRPr="00D96094">
              <w:rPr>
                <w:rFonts w:cstheme="minorHAnsi"/>
                <w:sz w:val="20"/>
                <w:szCs w:val="20"/>
              </w:rPr>
              <w:t>Market price</w:t>
            </w:r>
          </w:p>
        </w:tc>
        <w:tc>
          <w:tcPr>
            <w:tcW w:w="1170" w:type="dxa"/>
          </w:tcPr>
          <w:p w:rsidR="00F93316" w:rsidRPr="00D96094" w:rsidRDefault="00F93316" w:rsidP="009F38FD">
            <w:pPr>
              <w:rPr>
                <w:rFonts w:cstheme="minorHAnsi"/>
                <w:sz w:val="20"/>
                <w:szCs w:val="20"/>
              </w:rPr>
            </w:pPr>
            <w:r w:rsidRPr="00D96094">
              <w:rPr>
                <w:rFonts w:cstheme="minorHAnsi"/>
                <w:sz w:val="20"/>
                <w:szCs w:val="20"/>
              </w:rPr>
              <w:t>2009</w:t>
            </w:r>
          </w:p>
        </w:tc>
        <w:tc>
          <w:tcPr>
            <w:tcW w:w="1242" w:type="dxa"/>
          </w:tcPr>
          <w:p w:rsidR="00F93316" w:rsidRPr="00D96094" w:rsidRDefault="00F93316" w:rsidP="009F38FD">
            <w:pPr>
              <w:rPr>
                <w:rFonts w:cstheme="minorHAnsi"/>
                <w:sz w:val="20"/>
                <w:szCs w:val="20"/>
              </w:rPr>
            </w:pPr>
            <w:r w:rsidRPr="00D96094">
              <w:rPr>
                <w:rFonts w:cstheme="minorHAnsi"/>
                <w:sz w:val="20"/>
                <w:szCs w:val="20"/>
              </w:rPr>
              <w:t>2010</w:t>
            </w:r>
          </w:p>
        </w:tc>
        <w:tc>
          <w:tcPr>
            <w:tcW w:w="1172" w:type="dxa"/>
          </w:tcPr>
          <w:p w:rsidR="00F93316" w:rsidRPr="00D96094" w:rsidRDefault="00F93316" w:rsidP="009F38FD">
            <w:pPr>
              <w:rPr>
                <w:rFonts w:cstheme="minorHAnsi"/>
                <w:sz w:val="20"/>
                <w:szCs w:val="20"/>
              </w:rPr>
            </w:pPr>
            <w:r w:rsidRPr="00D96094">
              <w:rPr>
                <w:rFonts w:cstheme="minorHAnsi"/>
                <w:sz w:val="20"/>
                <w:szCs w:val="20"/>
              </w:rPr>
              <w:t>2011</w:t>
            </w:r>
          </w:p>
        </w:tc>
        <w:tc>
          <w:tcPr>
            <w:tcW w:w="1172" w:type="dxa"/>
          </w:tcPr>
          <w:p w:rsidR="00F93316" w:rsidRPr="00D96094" w:rsidRDefault="00F93316" w:rsidP="009F38FD">
            <w:pPr>
              <w:rPr>
                <w:rFonts w:cstheme="minorHAnsi"/>
                <w:sz w:val="20"/>
                <w:szCs w:val="20"/>
              </w:rPr>
            </w:pPr>
            <w:r w:rsidRPr="00D96094">
              <w:rPr>
                <w:rFonts w:cstheme="minorHAnsi"/>
                <w:sz w:val="20"/>
                <w:szCs w:val="20"/>
              </w:rPr>
              <w:t>2012</w:t>
            </w:r>
          </w:p>
        </w:tc>
        <w:tc>
          <w:tcPr>
            <w:tcW w:w="1292" w:type="dxa"/>
          </w:tcPr>
          <w:p w:rsidR="00F93316" w:rsidRPr="00D96094" w:rsidRDefault="00F93316" w:rsidP="009F38FD">
            <w:pPr>
              <w:rPr>
                <w:rFonts w:cstheme="minorHAnsi"/>
                <w:sz w:val="20"/>
                <w:szCs w:val="20"/>
              </w:rPr>
            </w:pPr>
            <w:r w:rsidRPr="00D96094">
              <w:rPr>
                <w:rFonts w:cstheme="minorHAnsi"/>
                <w:sz w:val="20"/>
                <w:szCs w:val="20"/>
              </w:rPr>
              <w:t>total</w:t>
            </w:r>
          </w:p>
        </w:tc>
      </w:tr>
      <w:tr w:rsidR="00F93316" w:rsidTr="009F38FD">
        <w:tc>
          <w:tcPr>
            <w:tcW w:w="1188" w:type="dxa"/>
          </w:tcPr>
          <w:p w:rsidR="00F93316" w:rsidRPr="00D96094" w:rsidRDefault="00F93316" w:rsidP="009F38FD">
            <w:pPr>
              <w:rPr>
                <w:rFonts w:cstheme="minorHAnsi"/>
                <w:sz w:val="20"/>
                <w:szCs w:val="20"/>
              </w:rPr>
            </w:pPr>
            <w:r w:rsidRPr="00D96094">
              <w:rPr>
                <w:rFonts w:cstheme="minorHAnsi"/>
                <w:sz w:val="20"/>
                <w:szCs w:val="20"/>
              </w:rPr>
              <w:t>Legacy</w:t>
            </w:r>
          </w:p>
        </w:tc>
        <w:tc>
          <w:tcPr>
            <w:tcW w:w="1080" w:type="dxa"/>
          </w:tcPr>
          <w:p w:rsidR="00F93316" w:rsidRPr="00D96094" w:rsidRDefault="00F93316" w:rsidP="009F38FD">
            <w:pPr>
              <w:rPr>
                <w:rFonts w:cstheme="minorHAnsi"/>
                <w:sz w:val="20"/>
                <w:szCs w:val="20"/>
              </w:rPr>
            </w:pPr>
            <w:r w:rsidRPr="00D96094">
              <w:rPr>
                <w:rFonts w:cstheme="minorHAnsi"/>
                <w:sz w:val="20"/>
                <w:szCs w:val="20"/>
              </w:rPr>
              <w:t>6.34%</w:t>
            </w:r>
          </w:p>
        </w:tc>
        <w:tc>
          <w:tcPr>
            <w:tcW w:w="1260" w:type="dxa"/>
          </w:tcPr>
          <w:p w:rsidR="00F93316" w:rsidRPr="00D96094" w:rsidRDefault="00F93316" w:rsidP="009F38FD">
            <w:pPr>
              <w:rPr>
                <w:rFonts w:cstheme="minorHAnsi"/>
                <w:sz w:val="20"/>
                <w:szCs w:val="20"/>
              </w:rPr>
            </w:pPr>
            <w:r w:rsidRPr="00D96094">
              <w:rPr>
                <w:rFonts w:cstheme="minorHAnsi"/>
                <w:sz w:val="20"/>
                <w:szCs w:val="20"/>
              </w:rPr>
              <w:t>$6,004.00</w:t>
            </w:r>
          </w:p>
        </w:tc>
        <w:tc>
          <w:tcPr>
            <w:tcW w:w="1170" w:type="dxa"/>
          </w:tcPr>
          <w:p w:rsidR="00F93316" w:rsidRPr="00D96094" w:rsidRDefault="00F93316" w:rsidP="009F38FD">
            <w:pPr>
              <w:rPr>
                <w:rFonts w:cstheme="minorHAnsi"/>
                <w:sz w:val="20"/>
                <w:szCs w:val="20"/>
              </w:rPr>
            </w:pPr>
            <w:r w:rsidRPr="00D96094">
              <w:rPr>
                <w:rFonts w:cstheme="minorHAnsi"/>
                <w:sz w:val="20"/>
                <w:szCs w:val="20"/>
              </w:rPr>
              <w:t>$5,704.68</w:t>
            </w:r>
          </w:p>
        </w:tc>
        <w:tc>
          <w:tcPr>
            <w:tcW w:w="1242" w:type="dxa"/>
          </w:tcPr>
          <w:p w:rsidR="00F93316" w:rsidRPr="00D96094" w:rsidRDefault="00F93316" w:rsidP="009F38FD">
            <w:pPr>
              <w:rPr>
                <w:rFonts w:cstheme="minorHAnsi"/>
                <w:sz w:val="20"/>
                <w:szCs w:val="20"/>
              </w:rPr>
            </w:pPr>
            <w:r w:rsidRPr="00D96094">
              <w:rPr>
                <w:rFonts w:cstheme="minorHAnsi"/>
                <w:sz w:val="20"/>
                <w:szCs w:val="20"/>
              </w:rPr>
              <w:t>$4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D96094">
              <w:rPr>
                <w:rFonts w:cstheme="minorHAnsi"/>
                <w:sz w:val="20"/>
                <w:szCs w:val="20"/>
              </w:rPr>
              <w:t>803.20</w:t>
            </w:r>
          </w:p>
        </w:tc>
        <w:tc>
          <w:tcPr>
            <w:tcW w:w="1172" w:type="dxa"/>
          </w:tcPr>
          <w:p w:rsidR="00F93316" w:rsidRPr="00D96094" w:rsidRDefault="00F93316" w:rsidP="009F38FD">
            <w:pPr>
              <w:rPr>
                <w:rFonts w:cstheme="minorHAnsi"/>
                <w:sz w:val="20"/>
                <w:szCs w:val="20"/>
              </w:rPr>
            </w:pPr>
            <w:r w:rsidRPr="00D96094">
              <w:rPr>
                <w:rFonts w:cstheme="minorHAnsi"/>
                <w:sz w:val="20"/>
                <w:szCs w:val="20"/>
              </w:rPr>
              <w:t>$5,043.36</w:t>
            </w:r>
          </w:p>
        </w:tc>
        <w:tc>
          <w:tcPr>
            <w:tcW w:w="1172" w:type="dxa"/>
          </w:tcPr>
          <w:p w:rsidR="00F93316" w:rsidRPr="00D96094" w:rsidRDefault="00F93316" w:rsidP="009F38FD">
            <w:pPr>
              <w:rPr>
                <w:rFonts w:cstheme="minorHAnsi"/>
                <w:sz w:val="20"/>
                <w:szCs w:val="20"/>
              </w:rPr>
            </w:pPr>
            <w:r w:rsidRPr="00D96094">
              <w:rPr>
                <w:rFonts w:cstheme="minorHAnsi"/>
                <w:sz w:val="20"/>
                <w:szCs w:val="20"/>
              </w:rPr>
              <w:t>$5,295.53</w:t>
            </w:r>
          </w:p>
        </w:tc>
        <w:tc>
          <w:tcPr>
            <w:tcW w:w="1292" w:type="dxa"/>
          </w:tcPr>
          <w:p w:rsidR="00F93316" w:rsidRPr="00D96094" w:rsidRDefault="00F93316" w:rsidP="009F38FD">
            <w:pPr>
              <w:rPr>
                <w:rFonts w:cstheme="minorHAnsi"/>
                <w:sz w:val="20"/>
                <w:szCs w:val="20"/>
              </w:rPr>
            </w:pPr>
            <w:r w:rsidRPr="00D96094">
              <w:rPr>
                <w:rFonts w:cstheme="minorHAnsi"/>
                <w:sz w:val="20"/>
                <w:szCs w:val="20"/>
              </w:rPr>
              <w:t>$15,142.09</w:t>
            </w:r>
          </w:p>
        </w:tc>
      </w:tr>
      <w:tr w:rsidR="00F93316" w:rsidTr="009F38FD">
        <w:tc>
          <w:tcPr>
            <w:tcW w:w="1188" w:type="dxa"/>
          </w:tcPr>
          <w:p w:rsidR="00F93316" w:rsidRPr="00D96094" w:rsidRDefault="00F93316" w:rsidP="009F38FD">
            <w:pPr>
              <w:rPr>
                <w:rFonts w:cstheme="minorHAnsi"/>
                <w:sz w:val="20"/>
                <w:szCs w:val="20"/>
              </w:rPr>
            </w:pPr>
            <w:r w:rsidRPr="00D96094">
              <w:rPr>
                <w:rFonts w:cstheme="minorHAnsi"/>
                <w:sz w:val="20"/>
                <w:szCs w:val="20"/>
              </w:rPr>
              <w:t xml:space="preserve">Web </w:t>
            </w:r>
          </w:p>
        </w:tc>
        <w:tc>
          <w:tcPr>
            <w:tcW w:w="1080" w:type="dxa"/>
          </w:tcPr>
          <w:p w:rsidR="00F93316" w:rsidRPr="00D96094" w:rsidRDefault="00F93316" w:rsidP="009F38FD">
            <w:pPr>
              <w:rPr>
                <w:rFonts w:cstheme="minorHAnsi"/>
                <w:sz w:val="20"/>
                <w:szCs w:val="20"/>
              </w:rPr>
            </w:pPr>
            <w:r w:rsidRPr="00D96094">
              <w:rPr>
                <w:rFonts w:cstheme="minorHAnsi"/>
                <w:sz w:val="20"/>
                <w:szCs w:val="20"/>
              </w:rPr>
              <w:t>6.34%</w:t>
            </w:r>
          </w:p>
        </w:tc>
        <w:tc>
          <w:tcPr>
            <w:tcW w:w="1260" w:type="dxa"/>
          </w:tcPr>
          <w:p w:rsidR="00F93316" w:rsidRPr="00D96094" w:rsidRDefault="00F93316" w:rsidP="009F38FD">
            <w:pPr>
              <w:rPr>
                <w:rFonts w:cstheme="minorHAnsi"/>
                <w:sz w:val="20"/>
                <w:szCs w:val="20"/>
              </w:rPr>
            </w:pPr>
            <w:r w:rsidRPr="00D96094">
              <w:rPr>
                <w:rFonts w:cstheme="minorHAnsi"/>
                <w:sz w:val="20"/>
                <w:szCs w:val="20"/>
              </w:rPr>
              <w:t>$141,392.10</w:t>
            </w:r>
          </w:p>
        </w:tc>
        <w:tc>
          <w:tcPr>
            <w:tcW w:w="1170" w:type="dxa"/>
          </w:tcPr>
          <w:p w:rsidR="00F93316" w:rsidRPr="00D96094" w:rsidRDefault="00F93316" w:rsidP="009F38FD">
            <w:pPr>
              <w:rPr>
                <w:rFonts w:cstheme="minorHAnsi"/>
                <w:sz w:val="20"/>
                <w:szCs w:val="20"/>
              </w:rPr>
            </w:pPr>
            <w:r w:rsidRPr="00D96094">
              <w:rPr>
                <w:rFonts w:cstheme="minorHAnsi"/>
                <w:sz w:val="20"/>
                <w:szCs w:val="20"/>
              </w:rPr>
              <w:t>$99,809.00</w:t>
            </w:r>
          </w:p>
        </w:tc>
        <w:tc>
          <w:tcPr>
            <w:tcW w:w="1242" w:type="dxa"/>
          </w:tcPr>
          <w:p w:rsidR="00F93316" w:rsidRPr="00D96094" w:rsidRDefault="00F93316" w:rsidP="009F38FD">
            <w:pPr>
              <w:rPr>
                <w:rFonts w:cstheme="minorHAnsi"/>
                <w:sz w:val="20"/>
                <w:szCs w:val="20"/>
              </w:rPr>
            </w:pPr>
            <w:r w:rsidRPr="00D96094">
              <w:rPr>
                <w:rFonts w:cstheme="minorHAnsi"/>
                <w:sz w:val="20"/>
                <w:szCs w:val="20"/>
              </w:rPr>
              <w:t>$85,835.74</w:t>
            </w:r>
          </w:p>
        </w:tc>
        <w:tc>
          <w:tcPr>
            <w:tcW w:w="1172" w:type="dxa"/>
          </w:tcPr>
          <w:p w:rsidR="00F93316" w:rsidRPr="00D96094" w:rsidRDefault="00F93316" w:rsidP="009F38FD">
            <w:pPr>
              <w:rPr>
                <w:rFonts w:cstheme="minorHAnsi"/>
                <w:sz w:val="20"/>
                <w:szCs w:val="20"/>
              </w:rPr>
            </w:pPr>
            <w:r w:rsidRPr="00D96094">
              <w:rPr>
                <w:rFonts w:cstheme="minorHAnsi"/>
                <w:sz w:val="20"/>
                <w:szCs w:val="20"/>
              </w:rPr>
              <w:t>$87,981.63</w:t>
            </w:r>
          </w:p>
        </w:tc>
        <w:tc>
          <w:tcPr>
            <w:tcW w:w="1172" w:type="dxa"/>
          </w:tcPr>
          <w:p w:rsidR="00F93316" w:rsidRPr="00D96094" w:rsidRDefault="00F93316" w:rsidP="009F38FD">
            <w:pPr>
              <w:rPr>
                <w:rFonts w:cstheme="minorHAnsi"/>
                <w:sz w:val="20"/>
                <w:szCs w:val="20"/>
              </w:rPr>
            </w:pPr>
            <w:r w:rsidRPr="00D96094">
              <w:rPr>
                <w:rFonts w:cstheme="minorHAnsi"/>
                <w:sz w:val="20"/>
                <w:szCs w:val="20"/>
              </w:rPr>
              <w:t>$90,181.17</w:t>
            </w:r>
          </w:p>
        </w:tc>
        <w:tc>
          <w:tcPr>
            <w:tcW w:w="1292" w:type="dxa"/>
          </w:tcPr>
          <w:p w:rsidR="00F93316" w:rsidRPr="00D96094" w:rsidRDefault="00F93316" w:rsidP="009F38FD">
            <w:pPr>
              <w:rPr>
                <w:rFonts w:cstheme="minorHAnsi"/>
                <w:sz w:val="20"/>
                <w:szCs w:val="20"/>
              </w:rPr>
            </w:pPr>
            <w:r w:rsidRPr="00D96094">
              <w:rPr>
                <w:rFonts w:cstheme="minorHAnsi"/>
                <w:sz w:val="20"/>
                <w:szCs w:val="20"/>
              </w:rPr>
              <w:t>$263,954.83</w:t>
            </w:r>
          </w:p>
        </w:tc>
      </w:tr>
    </w:tbl>
    <w:p w:rsidR="00DE5B4A" w:rsidRPr="008706F4" w:rsidRDefault="00DE5B4A">
      <w:pPr>
        <w:rPr>
          <w:rFonts w:cstheme="minorHAnsi"/>
          <w:sz w:val="24"/>
          <w:szCs w:val="24"/>
        </w:rPr>
      </w:pPr>
    </w:p>
    <w:p w:rsidR="00D536C3" w:rsidRPr="008706F4" w:rsidRDefault="00D536C3">
      <w:pPr>
        <w:rPr>
          <w:rFonts w:cstheme="minorHAnsi"/>
          <w:b/>
          <w:sz w:val="24"/>
          <w:szCs w:val="24"/>
          <w:u w:val="single"/>
        </w:rPr>
      </w:pPr>
      <w:r w:rsidRPr="008706F4">
        <w:rPr>
          <w:rFonts w:cstheme="minorHAnsi"/>
          <w:b/>
          <w:sz w:val="24"/>
          <w:szCs w:val="24"/>
          <w:u w:val="single"/>
        </w:rPr>
        <w:t xml:space="preserve">Usage </w:t>
      </w:r>
      <w:r w:rsidR="00977AE0" w:rsidRPr="008706F4">
        <w:rPr>
          <w:rFonts w:cstheme="minorHAnsi"/>
          <w:b/>
          <w:sz w:val="24"/>
          <w:szCs w:val="24"/>
          <w:u w:val="single"/>
        </w:rPr>
        <w:t>Based Pricing M</w:t>
      </w:r>
      <w:r w:rsidRPr="008706F4">
        <w:rPr>
          <w:rFonts w:cstheme="minorHAnsi"/>
          <w:b/>
          <w:sz w:val="24"/>
          <w:szCs w:val="24"/>
          <w:u w:val="single"/>
        </w:rPr>
        <w:t>odel</w:t>
      </w:r>
      <w:r w:rsidR="00977AE0" w:rsidRPr="008706F4">
        <w:rPr>
          <w:rFonts w:cstheme="minorHAnsi"/>
          <w:b/>
          <w:sz w:val="24"/>
          <w:szCs w:val="24"/>
          <w:u w:val="single"/>
        </w:rPr>
        <w:t xml:space="preserve"> Constraints</w:t>
      </w:r>
    </w:p>
    <w:p w:rsidR="00D536C3" w:rsidRPr="008706F4" w:rsidRDefault="00D536C3" w:rsidP="0012218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706F4">
        <w:rPr>
          <w:rFonts w:cstheme="minorHAnsi"/>
          <w:sz w:val="24"/>
          <w:szCs w:val="24"/>
        </w:rPr>
        <w:t>Precedent setting situation, may influence actions of other publishers/vendors</w:t>
      </w:r>
      <w:r w:rsidR="009D48BD" w:rsidRPr="008706F4">
        <w:rPr>
          <w:rFonts w:cstheme="minorHAnsi"/>
          <w:sz w:val="24"/>
          <w:szCs w:val="24"/>
        </w:rPr>
        <w:t xml:space="preserve"> and weaken UBC’s ability to negotiate for other </w:t>
      </w:r>
      <w:r w:rsidR="00D04508" w:rsidRPr="008706F4">
        <w:rPr>
          <w:rFonts w:cstheme="minorHAnsi"/>
          <w:sz w:val="24"/>
          <w:szCs w:val="24"/>
        </w:rPr>
        <w:t xml:space="preserve">e-resource </w:t>
      </w:r>
      <w:r w:rsidR="009D48BD" w:rsidRPr="008706F4">
        <w:rPr>
          <w:rFonts w:cstheme="minorHAnsi"/>
          <w:sz w:val="24"/>
          <w:szCs w:val="24"/>
        </w:rPr>
        <w:t>content</w:t>
      </w:r>
    </w:p>
    <w:p w:rsidR="005A6156" w:rsidRPr="008706F4" w:rsidRDefault="005A6156" w:rsidP="0012218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706F4">
        <w:rPr>
          <w:rFonts w:cstheme="minorHAnsi"/>
          <w:sz w:val="24"/>
          <w:szCs w:val="24"/>
        </w:rPr>
        <w:t>O</w:t>
      </w:r>
      <w:r w:rsidR="009D48BD" w:rsidRPr="008706F4">
        <w:rPr>
          <w:rFonts w:cstheme="minorHAnsi"/>
          <w:sz w:val="24"/>
          <w:szCs w:val="24"/>
        </w:rPr>
        <w:t>pp</w:t>
      </w:r>
      <w:r w:rsidRPr="008706F4">
        <w:rPr>
          <w:rFonts w:cstheme="minorHAnsi"/>
          <w:sz w:val="24"/>
          <w:szCs w:val="24"/>
        </w:rPr>
        <w:t>oses fundamental mission of increasing access to scholarly content</w:t>
      </w:r>
    </w:p>
    <w:p w:rsidR="005A6156" w:rsidRPr="008706F4" w:rsidRDefault="005A6156" w:rsidP="0012218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706F4">
        <w:rPr>
          <w:rFonts w:cstheme="minorHAnsi"/>
          <w:sz w:val="24"/>
          <w:szCs w:val="24"/>
        </w:rPr>
        <w:t>Does not provide stable predictable pricing</w:t>
      </w:r>
    </w:p>
    <w:p w:rsidR="00CA761E" w:rsidRPr="008706F4" w:rsidRDefault="00CA761E" w:rsidP="0012218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706F4">
        <w:rPr>
          <w:rFonts w:cstheme="minorHAnsi"/>
          <w:sz w:val="24"/>
          <w:szCs w:val="24"/>
        </w:rPr>
        <w:t>Cost increase could be from 10 to 300%</w:t>
      </w:r>
    </w:p>
    <w:p w:rsidR="005A6156" w:rsidRPr="008706F4" w:rsidRDefault="005A6156" w:rsidP="0012218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706F4">
        <w:rPr>
          <w:rFonts w:cstheme="minorHAnsi"/>
          <w:sz w:val="24"/>
          <w:szCs w:val="24"/>
        </w:rPr>
        <w:t>Deter rather than promote use of these resources</w:t>
      </w:r>
    </w:p>
    <w:p w:rsidR="005A6156" w:rsidRPr="008706F4" w:rsidRDefault="007424AA" w:rsidP="0012218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n-CA"/>
        </w:rPr>
      </w:pPr>
      <w:r w:rsidRPr="008706F4">
        <w:rPr>
          <w:rFonts w:cstheme="minorHAnsi"/>
          <w:sz w:val="24"/>
          <w:szCs w:val="24"/>
        </w:rPr>
        <w:t>Penalize institutions who are successful at promoting resource and promulgating use thru discovery tools, link resolvers.</w:t>
      </w:r>
    </w:p>
    <w:p w:rsidR="009D48BD" w:rsidRPr="008706F4" w:rsidRDefault="009D48BD" w:rsidP="0012218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n-CA"/>
        </w:rPr>
      </w:pPr>
      <w:r w:rsidRPr="008706F4">
        <w:rPr>
          <w:rFonts w:cstheme="minorHAnsi"/>
          <w:sz w:val="24"/>
          <w:szCs w:val="24"/>
        </w:rPr>
        <w:t xml:space="preserve">Force </w:t>
      </w:r>
      <w:r w:rsidR="007424AA" w:rsidRPr="008706F4">
        <w:rPr>
          <w:rFonts w:cstheme="minorHAnsi"/>
          <w:sz w:val="24"/>
          <w:szCs w:val="24"/>
        </w:rPr>
        <w:t>institutions</w:t>
      </w:r>
      <w:r w:rsidR="00D04508" w:rsidRPr="008706F4">
        <w:rPr>
          <w:rFonts w:cstheme="minorHAnsi"/>
          <w:sz w:val="24"/>
          <w:szCs w:val="24"/>
        </w:rPr>
        <w:t xml:space="preserve"> into multi-</w:t>
      </w:r>
      <w:r w:rsidRPr="008706F4">
        <w:rPr>
          <w:rFonts w:cstheme="minorHAnsi"/>
          <w:sz w:val="24"/>
          <w:szCs w:val="24"/>
        </w:rPr>
        <w:t>year all content agreement without adequate mechanisms to anticipate and control costs</w:t>
      </w:r>
    </w:p>
    <w:p w:rsidR="009D48BD" w:rsidRPr="008706F4" w:rsidRDefault="009D48BD" w:rsidP="0012218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n-CA"/>
        </w:rPr>
      </w:pPr>
      <w:r w:rsidRPr="008706F4">
        <w:rPr>
          <w:rFonts w:cstheme="minorHAnsi"/>
          <w:sz w:val="24"/>
          <w:szCs w:val="24"/>
        </w:rPr>
        <w:t>If agree, removed any motivation for ACS to revisit pricing policies</w:t>
      </w:r>
    </w:p>
    <w:p w:rsidR="00222B23" w:rsidRPr="008706F4" w:rsidRDefault="00222B23" w:rsidP="0012218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n-CA"/>
        </w:rPr>
      </w:pPr>
      <w:r w:rsidRPr="008706F4">
        <w:rPr>
          <w:rFonts w:cstheme="minorHAnsi"/>
          <w:sz w:val="24"/>
          <w:szCs w:val="24"/>
        </w:rPr>
        <w:t>Different pricing scheme than</w:t>
      </w:r>
      <w:r w:rsidR="00D04508" w:rsidRPr="008706F4">
        <w:rPr>
          <w:rFonts w:cstheme="minorHAnsi"/>
          <w:sz w:val="24"/>
          <w:szCs w:val="24"/>
        </w:rPr>
        <w:t xml:space="preserve"> applied in</w:t>
      </w:r>
      <w:r w:rsidRPr="008706F4">
        <w:rPr>
          <w:rFonts w:cstheme="minorHAnsi"/>
          <w:sz w:val="24"/>
          <w:szCs w:val="24"/>
        </w:rPr>
        <w:t xml:space="preserve"> US </w:t>
      </w:r>
      <w:r w:rsidR="00F93316">
        <w:rPr>
          <w:rFonts w:cstheme="minorHAnsi"/>
          <w:sz w:val="24"/>
          <w:szCs w:val="24"/>
        </w:rPr>
        <w:t>(includes</w:t>
      </w:r>
      <w:r w:rsidRPr="008706F4">
        <w:rPr>
          <w:rFonts w:cstheme="minorHAnsi"/>
          <w:sz w:val="24"/>
          <w:szCs w:val="24"/>
        </w:rPr>
        <w:t xml:space="preserve"> Carnegie</w:t>
      </w:r>
      <w:r w:rsidR="00F93316">
        <w:rPr>
          <w:rFonts w:cstheme="minorHAnsi"/>
          <w:sz w:val="24"/>
          <w:szCs w:val="24"/>
        </w:rPr>
        <w:t xml:space="preserve"> classification</w:t>
      </w:r>
      <w:r w:rsidRPr="008706F4">
        <w:rPr>
          <w:rFonts w:cstheme="minorHAnsi"/>
          <w:sz w:val="24"/>
          <w:szCs w:val="24"/>
        </w:rPr>
        <w:t xml:space="preserve"> banding</w:t>
      </w:r>
      <w:r w:rsidR="00F93316">
        <w:rPr>
          <w:rFonts w:cstheme="minorHAnsi"/>
          <w:sz w:val="24"/>
          <w:szCs w:val="24"/>
        </w:rPr>
        <w:t>)</w:t>
      </w:r>
    </w:p>
    <w:p w:rsidR="007C1689" w:rsidRPr="008706F4" w:rsidRDefault="007C1689" w:rsidP="00CA761E">
      <w:pPr>
        <w:rPr>
          <w:rFonts w:eastAsia="Times New Roman" w:cstheme="minorHAnsi"/>
          <w:b/>
          <w:sz w:val="24"/>
          <w:szCs w:val="24"/>
          <w:u w:val="single"/>
        </w:rPr>
      </w:pPr>
      <w:r w:rsidRPr="008706F4">
        <w:rPr>
          <w:rFonts w:eastAsia="Times New Roman" w:cstheme="minorHAnsi"/>
          <w:b/>
          <w:sz w:val="24"/>
          <w:szCs w:val="24"/>
          <w:u w:val="single"/>
        </w:rPr>
        <w:t>American Chemical Society Contacts:</w:t>
      </w:r>
    </w:p>
    <w:p w:rsidR="00CA761E" w:rsidRPr="008706F4" w:rsidRDefault="007C1689" w:rsidP="00CA761E">
      <w:pPr>
        <w:rPr>
          <w:rFonts w:cstheme="minorHAnsi"/>
          <w:sz w:val="24"/>
          <w:szCs w:val="24"/>
        </w:rPr>
      </w:pPr>
      <w:r w:rsidRPr="008706F4">
        <w:rPr>
          <w:rFonts w:eastAsia="Times New Roman" w:cstheme="minorHAnsi"/>
          <w:sz w:val="24"/>
          <w:szCs w:val="24"/>
        </w:rPr>
        <w:t xml:space="preserve">S. Sara </w:t>
      </w:r>
      <w:proofErr w:type="spellStart"/>
      <w:r w:rsidRPr="008706F4">
        <w:rPr>
          <w:rFonts w:eastAsia="Times New Roman" w:cstheme="minorHAnsi"/>
          <w:sz w:val="24"/>
          <w:szCs w:val="24"/>
        </w:rPr>
        <w:t>Rouhi</w:t>
      </w:r>
      <w:proofErr w:type="spellEnd"/>
      <w:r w:rsidRPr="008706F4">
        <w:rPr>
          <w:rFonts w:eastAsia="Times New Roman" w:cstheme="minorHAnsi"/>
          <w:sz w:val="24"/>
          <w:szCs w:val="24"/>
        </w:rPr>
        <w:br/>
        <w:t>Manager, Library Relations | ACS Publications</w:t>
      </w:r>
      <w:r w:rsidRPr="008706F4">
        <w:rPr>
          <w:rFonts w:eastAsia="Times New Roman" w:cstheme="minorHAnsi"/>
          <w:sz w:val="24"/>
          <w:szCs w:val="24"/>
        </w:rPr>
        <w:br/>
        <w:t>1155 16th St., NW | Washington | DC 20036</w:t>
      </w:r>
      <w:r w:rsidRPr="008706F4">
        <w:rPr>
          <w:rFonts w:eastAsia="Times New Roman" w:cstheme="minorHAnsi"/>
          <w:sz w:val="24"/>
          <w:szCs w:val="24"/>
        </w:rPr>
        <w:br/>
        <w:t>T 202-872-6386 | F 202-872-6005 | AIM </w:t>
      </w:r>
      <w:proofErr w:type="spellStart"/>
      <w:r w:rsidRPr="008706F4">
        <w:rPr>
          <w:rFonts w:eastAsia="Times New Roman" w:cstheme="minorHAnsi"/>
          <w:sz w:val="24"/>
          <w:szCs w:val="24"/>
        </w:rPr>
        <w:t>sararouhi</w:t>
      </w:r>
      <w:proofErr w:type="spellEnd"/>
    </w:p>
    <w:p w:rsidR="00D04508" w:rsidRPr="008706F4" w:rsidRDefault="00D04508" w:rsidP="00D04508">
      <w:pPr>
        <w:spacing w:after="0"/>
        <w:rPr>
          <w:rFonts w:cstheme="minorHAnsi"/>
          <w:sz w:val="24"/>
          <w:szCs w:val="24"/>
        </w:rPr>
      </w:pPr>
      <w:r w:rsidRPr="008706F4">
        <w:rPr>
          <w:rFonts w:cstheme="minorHAnsi"/>
          <w:sz w:val="24"/>
          <w:szCs w:val="24"/>
        </w:rPr>
        <w:t>Steve Hanse</w:t>
      </w:r>
      <w:r w:rsidR="007C1689" w:rsidRPr="008706F4">
        <w:rPr>
          <w:rFonts w:cstheme="minorHAnsi"/>
          <w:sz w:val="24"/>
          <w:szCs w:val="24"/>
        </w:rPr>
        <w:t>n</w:t>
      </w:r>
    </w:p>
    <w:p w:rsidR="00D04508" w:rsidRPr="008706F4" w:rsidRDefault="00D04508" w:rsidP="00D04508">
      <w:pPr>
        <w:spacing w:after="0"/>
        <w:rPr>
          <w:rFonts w:cstheme="minorHAnsi"/>
          <w:sz w:val="24"/>
          <w:szCs w:val="24"/>
        </w:rPr>
      </w:pPr>
      <w:r w:rsidRPr="008706F4">
        <w:rPr>
          <w:rFonts w:cstheme="minorHAnsi"/>
          <w:sz w:val="24"/>
          <w:szCs w:val="24"/>
        </w:rPr>
        <w:t>Assistant Director, North American Sales &amp; Licensing at American Chemical Society</w:t>
      </w:r>
    </w:p>
    <w:p w:rsidR="00D04508" w:rsidRPr="008706F4" w:rsidRDefault="00D04508" w:rsidP="00D0450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706F4">
        <w:rPr>
          <w:rFonts w:cstheme="minorHAnsi"/>
          <w:bCs/>
          <w:sz w:val="24"/>
          <w:szCs w:val="24"/>
        </w:rPr>
        <w:t xml:space="preserve">Phone: </w:t>
      </w:r>
      <w:r w:rsidRPr="008706F4">
        <w:rPr>
          <w:rFonts w:cstheme="minorHAnsi"/>
          <w:sz w:val="24"/>
          <w:szCs w:val="24"/>
        </w:rPr>
        <w:t>(610) 745-1710</w:t>
      </w:r>
    </w:p>
    <w:p w:rsidR="00D04508" w:rsidRPr="008706F4" w:rsidRDefault="00D04508" w:rsidP="00D04508">
      <w:pPr>
        <w:spacing w:after="0"/>
        <w:rPr>
          <w:rFonts w:cstheme="minorHAnsi"/>
          <w:sz w:val="24"/>
          <w:szCs w:val="24"/>
        </w:rPr>
      </w:pPr>
      <w:r w:rsidRPr="008706F4">
        <w:rPr>
          <w:rFonts w:cstheme="minorHAnsi"/>
          <w:bCs/>
          <w:sz w:val="24"/>
          <w:szCs w:val="24"/>
        </w:rPr>
        <w:t xml:space="preserve">Email: </w:t>
      </w:r>
      <w:hyperlink r:id="rId9" w:history="1">
        <w:r w:rsidRPr="008706F4">
          <w:rPr>
            <w:rStyle w:val="Hyperlink"/>
            <w:rFonts w:cstheme="minorHAnsi"/>
            <w:sz w:val="24"/>
            <w:szCs w:val="24"/>
          </w:rPr>
          <w:t>s_hansen@acs.org</w:t>
        </w:r>
      </w:hyperlink>
    </w:p>
    <w:p w:rsidR="00D04508" w:rsidRPr="008706F4" w:rsidRDefault="00D04508" w:rsidP="00D04508">
      <w:pPr>
        <w:spacing w:after="0"/>
        <w:rPr>
          <w:rFonts w:cstheme="minorHAnsi"/>
          <w:sz w:val="24"/>
          <w:szCs w:val="24"/>
        </w:rPr>
      </w:pPr>
    </w:p>
    <w:p w:rsidR="00D04508" w:rsidRPr="008706F4" w:rsidRDefault="00D04508" w:rsidP="00D04508">
      <w:pPr>
        <w:spacing w:after="0"/>
        <w:rPr>
          <w:rFonts w:cstheme="minorHAnsi"/>
          <w:sz w:val="24"/>
          <w:szCs w:val="24"/>
        </w:rPr>
      </w:pPr>
    </w:p>
    <w:p w:rsidR="00772A39" w:rsidRPr="008706F4" w:rsidRDefault="00772A39" w:rsidP="00D04508">
      <w:pPr>
        <w:rPr>
          <w:rFonts w:cstheme="minorHAnsi"/>
          <w:sz w:val="24"/>
          <w:szCs w:val="24"/>
          <w:u w:val="single"/>
        </w:rPr>
      </w:pPr>
      <w:r w:rsidRPr="008706F4">
        <w:rPr>
          <w:rFonts w:cstheme="minorHAnsi"/>
          <w:b/>
          <w:bCs/>
          <w:iCs/>
          <w:sz w:val="24"/>
          <w:szCs w:val="24"/>
          <w:u w:val="single"/>
          <w:lang w:val="en-CA"/>
        </w:rPr>
        <w:t xml:space="preserve">UBC Library </w:t>
      </w:r>
      <w:r w:rsidR="00D04508" w:rsidRPr="008706F4">
        <w:rPr>
          <w:rFonts w:cstheme="minorHAnsi"/>
          <w:b/>
          <w:bCs/>
          <w:iCs/>
          <w:sz w:val="24"/>
          <w:szCs w:val="24"/>
          <w:u w:val="single"/>
          <w:lang w:val="en-CA"/>
        </w:rPr>
        <w:t>Contact</w:t>
      </w:r>
      <w:r w:rsidRPr="008706F4">
        <w:rPr>
          <w:rFonts w:cstheme="minorHAnsi"/>
          <w:b/>
          <w:bCs/>
          <w:iCs/>
          <w:sz w:val="24"/>
          <w:szCs w:val="24"/>
          <w:u w:val="single"/>
          <w:lang w:val="en-CA"/>
        </w:rPr>
        <w:t>s</w:t>
      </w:r>
      <w:r w:rsidR="00D04508" w:rsidRPr="008706F4">
        <w:rPr>
          <w:rFonts w:cstheme="minorHAnsi"/>
          <w:b/>
          <w:bCs/>
          <w:iCs/>
          <w:sz w:val="24"/>
          <w:szCs w:val="24"/>
          <w:u w:val="single"/>
          <w:lang w:val="en-CA"/>
        </w:rPr>
        <w:t>:</w:t>
      </w:r>
      <w:r w:rsidR="00D04508" w:rsidRPr="008706F4">
        <w:rPr>
          <w:rFonts w:cstheme="minorHAnsi"/>
          <w:sz w:val="24"/>
          <w:szCs w:val="24"/>
          <w:u w:val="single"/>
        </w:rPr>
        <w:t xml:space="preserve"> </w:t>
      </w:r>
    </w:p>
    <w:p w:rsidR="00772A39" w:rsidRPr="008706F4" w:rsidRDefault="00772A39" w:rsidP="00772A39">
      <w:pPr>
        <w:spacing w:after="0"/>
        <w:rPr>
          <w:rFonts w:cstheme="minorHAnsi"/>
          <w:sz w:val="24"/>
          <w:szCs w:val="24"/>
        </w:rPr>
      </w:pPr>
      <w:r w:rsidRPr="008706F4">
        <w:rPr>
          <w:rFonts w:cstheme="minorHAnsi"/>
          <w:sz w:val="24"/>
          <w:szCs w:val="24"/>
        </w:rPr>
        <w:t>Aleteia Greenwood</w:t>
      </w:r>
    </w:p>
    <w:p w:rsidR="00772A39" w:rsidRPr="008706F4" w:rsidRDefault="00772A39" w:rsidP="00772A39">
      <w:pPr>
        <w:spacing w:after="0"/>
        <w:rPr>
          <w:rFonts w:cstheme="minorHAnsi"/>
          <w:sz w:val="24"/>
          <w:szCs w:val="24"/>
        </w:rPr>
      </w:pPr>
      <w:r w:rsidRPr="008706F4">
        <w:rPr>
          <w:rFonts w:cstheme="minorHAnsi"/>
          <w:sz w:val="24"/>
          <w:szCs w:val="24"/>
        </w:rPr>
        <w:t>Head Librarian, Science &amp; Engineering Library</w:t>
      </w:r>
    </w:p>
    <w:p w:rsidR="00772A39" w:rsidRPr="008706F4" w:rsidRDefault="0058536D" w:rsidP="00772A39">
      <w:pPr>
        <w:spacing w:after="0"/>
        <w:rPr>
          <w:rFonts w:cstheme="minorHAnsi"/>
          <w:sz w:val="24"/>
          <w:szCs w:val="24"/>
        </w:rPr>
      </w:pPr>
      <w:hyperlink r:id="rId10" w:history="1">
        <w:r w:rsidR="00772A39" w:rsidRPr="008706F4">
          <w:rPr>
            <w:rStyle w:val="Hyperlink"/>
            <w:rFonts w:cstheme="minorHAnsi"/>
            <w:sz w:val="24"/>
            <w:szCs w:val="24"/>
          </w:rPr>
          <w:t>aleteia.greenwood@ubc.ca</w:t>
        </w:r>
      </w:hyperlink>
      <w:r w:rsidR="00772A39" w:rsidRPr="008706F4">
        <w:rPr>
          <w:rFonts w:cstheme="minorHAnsi"/>
          <w:sz w:val="24"/>
          <w:szCs w:val="24"/>
        </w:rPr>
        <w:t xml:space="preserve"> 604-822-0689</w:t>
      </w:r>
    </w:p>
    <w:p w:rsidR="00772A39" w:rsidRPr="008706F4" w:rsidRDefault="00772A39" w:rsidP="00772A39">
      <w:pPr>
        <w:spacing w:after="0"/>
        <w:rPr>
          <w:rFonts w:cstheme="minorHAnsi"/>
          <w:sz w:val="24"/>
          <w:szCs w:val="24"/>
        </w:rPr>
      </w:pPr>
    </w:p>
    <w:p w:rsidR="00772A39" w:rsidRPr="008706F4" w:rsidRDefault="00D04508" w:rsidP="00772A39">
      <w:pPr>
        <w:spacing w:after="0"/>
        <w:rPr>
          <w:rFonts w:cstheme="minorHAnsi"/>
          <w:sz w:val="24"/>
          <w:szCs w:val="24"/>
        </w:rPr>
      </w:pPr>
      <w:r w:rsidRPr="008706F4">
        <w:rPr>
          <w:rFonts w:cstheme="minorHAnsi"/>
          <w:sz w:val="24"/>
          <w:szCs w:val="24"/>
        </w:rPr>
        <w:t>Jo Anne Newyear-Ramirez</w:t>
      </w:r>
    </w:p>
    <w:p w:rsidR="00D04508" w:rsidRPr="008706F4" w:rsidRDefault="00D04508" w:rsidP="00772A39">
      <w:pPr>
        <w:spacing w:after="0"/>
        <w:rPr>
          <w:rFonts w:cstheme="minorHAnsi"/>
          <w:sz w:val="24"/>
          <w:szCs w:val="24"/>
        </w:rPr>
      </w:pPr>
      <w:r w:rsidRPr="008706F4">
        <w:rPr>
          <w:rFonts w:cstheme="minorHAnsi"/>
          <w:sz w:val="24"/>
          <w:szCs w:val="24"/>
        </w:rPr>
        <w:t>Associate University Librarian for Collection Development</w:t>
      </w:r>
    </w:p>
    <w:p w:rsidR="00D04508" w:rsidRPr="008706F4" w:rsidRDefault="00D04508" w:rsidP="00772A39">
      <w:pPr>
        <w:spacing w:after="0"/>
        <w:rPr>
          <w:rFonts w:cstheme="minorHAnsi"/>
          <w:sz w:val="24"/>
          <w:szCs w:val="24"/>
        </w:rPr>
      </w:pPr>
      <w:r w:rsidRPr="008706F4">
        <w:rPr>
          <w:rFonts w:cstheme="minorHAnsi"/>
          <w:sz w:val="24"/>
          <w:szCs w:val="24"/>
        </w:rPr>
        <w:t xml:space="preserve"> </w:t>
      </w:r>
      <w:hyperlink r:id="rId11" w:history="1">
        <w:proofErr w:type="gramStart"/>
        <w:r w:rsidRPr="008706F4">
          <w:rPr>
            <w:rStyle w:val="Hyperlink"/>
            <w:rFonts w:cstheme="minorHAnsi"/>
            <w:sz w:val="24"/>
            <w:szCs w:val="24"/>
          </w:rPr>
          <w:t>joanne.newyear-ramirez@ubc.ca</w:t>
        </w:r>
      </w:hyperlink>
      <w:r w:rsidRPr="008706F4">
        <w:rPr>
          <w:rFonts w:cstheme="minorHAnsi"/>
          <w:sz w:val="24"/>
          <w:szCs w:val="24"/>
        </w:rPr>
        <w:t xml:space="preserve"> work.</w:t>
      </w:r>
      <w:proofErr w:type="gramEnd"/>
      <w:r w:rsidRPr="008706F4">
        <w:rPr>
          <w:rFonts w:cstheme="minorHAnsi"/>
          <w:sz w:val="24"/>
          <w:szCs w:val="24"/>
        </w:rPr>
        <w:t xml:space="preserve"> 604-822-2740 cell: 604-375-2906</w:t>
      </w:r>
    </w:p>
    <w:p w:rsidR="00D04508" w:rsidRPr="008706F4" w:rsidRDefault="00D04508" w:rsidP="00D04508">
      <w:pPr>
        <w:spacing w:after="0"/>
        <w:rPr>
          <w:rFonts w:cstheme="minorHAnsi"/>
          <w:sz w:val="24"/>
          <w:szCs w:val="24"/>
        </w:rPr>
      </w:pPr>
    </w:p>
    <w:sectPr w:rsidR="00D04508" w:rsidRPr="008706F4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36D" w:rsidRDefault="0058536D" w:rsidP="00DE5B4A">
      <w:pPr>
        <w:spacing w:after="0" w:line="240" w:lineRule="auto"/>
      </w:pPr>
      <w:r>
        <w:separator/>
      </w:r>
    </w:p>
  </w:endnote>
  <w:endnote w:type="continuationSeparator" w:id="0">
    <w:p w:rsidR="0058536D" w:rsidRDefault="0058536D" w:rsidP="00DE5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Palatino Linotype">
    <w:altName w:val="Palatino"/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928547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E5B4A" w:rsidRDefault="00DE5B4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3DFD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DE5B4A" w:rsidRDefault="00DE5B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36D" w:rsidRDefault="0058536D" w:rsidP="00DE5B4A">
      <w:pPr>
        <w:spacing w:after="0" w:line="240" w:lineRule="auto"/>
      </w:pPr>
      <w:r>
        <w:separator/>
      </w:r>
    </w:p>
  </w:footnote>
  <w:footnote w:type="continuationSeparator" w:id="0">
    <w:p w:rsidR="0058536D" w:rsidRDefault="0058536D" w:rsidP="00DE5B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B654A"/>
    <w:multiLevelType w:val="multilevel"/>
    <w:tmpl w:val="4C3C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CC18AF"/>
    <w:multiLevelType w:val="hybridMultilevel"/>
    <w:tmpl w:val="54023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34AD7"/>
    <w:multiLevelType w:val="hybridMultilevel"/>
    <w:tmpl w:val="D70ED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267CBC"/>
    <w:multiLevelType w:val="hybridMultilevel"/>
    <w:tmpl w:val="75AE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8F1CB2"/>
    <w:multiLevelType w:val="hybridMultilevel"/>
    <w:tmpl w:val="22C64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F7A"/>
    <w:rsid w:val="0012218A"/>
    <w:rsid w:val="00222B23"/>
    <w:rsid w:val="003B6F54"/>
    <w:rsid w:val="00435A08"/>
    <w:rsid w:val="0058536D"/>
    <w:rsid w:val="005A6156"/>
    <w:rsid w:val="007424AA"/>
    <w:rsid w:val="00772A39"/>
    <w:rsid w:val="00790D17"/>
    <w:rsid w:val="007C1689"/>
    <w:rsid w:val="008706F4"/>
    <w:rsid w:val="00977AE0"/>
    <w:rsid w:val="009D48BD"/>
    <w:rsid w:val="009E3F7A"/>
    <w:rsid w:val="00A24336"/>
    <w:rsid w:val="00A77C99"/>
    <w:rsid w:val="00B73E3D"/>
    <w:rsid w:val="00BC35F9"/>
    <w:rsid w:val="00CA761E"/>
    <w:rsid w:val="00D04508"/>
    <w:rsid w:val="00D11F87"/>
    <w:rsid w:val="00D536C3"/>
    <w:rsid w:val="00D96094"/>
    <w:rsid w:val="00DC3DFD"/>
    <w:rsid w:val="00DE5B4A"/>
    <w:rsid w:val="00F22065"/>
    <w:rsid w:val="00F26FE9"/>
    <w:rsid w:val="00F93316"/>
    <w:rsid w:val="00F93415"/>
    <w:rsid w:val="00FB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1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5A0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35A0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35A08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B73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F22065"/>
  </w:style>
  <w:style w:type="paragraph" w:styleId="Header">
    <w:name w:val="header"/>
    <w:basedOn w:val="Normal"/>
    <w:link w:val="HeaderChar"/>
    <w:uiPriority w:val="99"/>
    <w:unhideWhenUsed/>
    <w:rsid w:val="00DE5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B4A"/>
  </w:style>
  <w:style w:type="paragraph" w:styleId="Footer">
    <w:name w:val="footer"/>
    <w:basedOn w:val="Normal"/>
    <w:link w:val="FooterChar"/>
    <w:uiPriority w:val="99"/>
    <w:unhideWhenUsed/>
    <w:rsid w:val="00DE5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B4A"/>
  </w:style>
  <w:style w:type="paragraph" w:customStyle="1" w:styleId="Default">
    <w:name w:val="Default"/>
    <w:rsid w:val="008706F4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1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5A0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35A0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35A08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B73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F22065"/>
  </w:style>
  <w:style w:type="paragraph" w:styleId="Header">
    <w:name w:val="header"/>
    <w:basedOn w:val="Normal"/>
    <w:link w:val="HeaderChar"/>
    <w:uiPriority w:val="99"/>
    <w:unhideWhenUsed/>
    <w:rsid w:val="00DE5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B4A"/>
  </w:style>
  <w:style w:type="paragraph" w:styleId="Footer">
    <w:name w:val="footer"/>
    <w:basedOn w:val="Normal"/>
    <w:link w:val="FooterChar"/>
    <w:uiPriority w:val="99"/>
    <w:unhideWhenUsed/>
    <w:rsid w:val="00DE5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B4A"/>
  </w:style>
  <w:style w:type="paragraph" w:customStyle="1" w:styleId="Default">
    <w:name w:val="Default"/>
    <w:rsid w:val="008706F4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oanne.newyear-ramirez@ubc.ca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leteia.greenwood@ubc.c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_hansen@ac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27AC1-4D90-4C56-AB94-55088068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Anne Newyear-Ramirez</dc:creator>
  <cp:keywords/>
  <dc:description/>
  <cp:lastModifiedBy>Aleteia Greenwood</cp:lastModifiedBy>
  <cp:revision>2</cp:revision>
  <cp:lastPrinted>2012-12-11T22:47:00Z</cp:lastPrinted>
  <dcterms:created xsi:type="dcterms:W3CDTF">2012-12-11T22:48:00Z</dcterms:created>
  <dcterms:modified xsi:type="dcterms:W3CDTF">2012-12-11T22:48:00Z</dcterms:modified>
</cp:coreProperties>
</file>