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C6280" w14:textId="48A538FD" w:rsidR="0048074A" w:rsidRPr="00136B61" w:rsidRDefault="0048074A" w:rsidP="00136B61">
      <w:pPr>
        <w:pBdr>
          <w:top w:val="nil"/>
          <w:left w:val="nil"/>
          <w:bottom w:val="nil"/>
          <w:right w:val="nil"/>
          <w:between w:val="nil"/>
        </w:pBdr>
        <w:jc w:val="center"/>
        <w:rPr>
          <w:b/>
          <w:bCs/>
          <w:iCs/>
        </w:rPr>
      </w:pPr>
      <w:r w:rsidRPr="00136B61">
        <w:rPr>
          <w:b/>
          <w:bCs/>
          <w:iCs/>
        </w:rPr>
        <w:t>Resources: Learner-Centred &amp; Inclusive Syllabus</w:t>
      </w:r>
    </w:p>
    <w:p w14:paraId="05880E91" w14:textId="2744AD7C" w:rsidR="00136B61" w:rsidRPr="00136B61" w:rsidRDefault="00136B61" w:rsidP="00136B61">
      <w:pPr>
        <w:pBdr>
          <w:top w:val="nil"/>
          <w:left w:val="nil"/>
          <w:bottom w:val="nil"/>
          <w:right w:val="nil"/>
          <w:between w:val="nil"/>
        </w:pBdr>
        <w:jc w:val="center"/>
        <w:rPr>
          <w:b/>
          <w:bCs/>
          <w:iCs/>
        </w:rPr>
      </w:pPr>
      <w:r w:rsidRPr="00136B61">
        <w:rPr>
          <w:b/>
          <w:bCs/>
          <w:iCs/>
        </w:rPr>
        <w:t>Summer Institute 2019</w:t>
      </w:r>
    </w:p>
    <w:p w14:paraId="10C03695" w14:textId="32603FD0" w:rsidR="00136B61" w:rsidRPr="00136B61" w:rsidRDefault="00136B61" w:rsidP="00136B61">
      <w:pPr>
        <w:pBdr>
          <w:top w:val="nil"/>
          <w:left w:val="nil"/>
          <w:bottom w:val="nil"/>
          <w:right w:val="nil"/>
          <w:between w:val="nil"/>
        </w:pBdr>
        <w:jc w:val="center"/>
        <w:rPr>
          <w:b/>
          <w:bCs/>
          <w:iCs/>
        </w:rPr>
      </w:pPr>
      <w:r w:rsidRPr="00136B61">
        <w:rPr>
          <w:b/>
          <w:bCs/>
          <w:iCs/>
        </w:rPr>
        <w:t>Gail Hammond &amp; Sue Hampton</w:t>
      </w:r>
    </w:p>
    <w:p w14:paraId="4A316ABB" w14:textId="77777777" w:rsidR="0048074A" w:rsidRPr="00136B61" w:rsidRDefault="0048074A" w:rsidP="00136B61">
      <w:pPr>
        <w:pBdr>
          <w:top w:val="nil"/>
          <w:left w:val="nil"/>
          <w:bottom w:val="nil"/>
          <w:right w:val="nil"/>
          <w:between w:val="nil"/>
        </w:pBdr>
        <w:rPr>
          <w:i/>
        </w:rPr>
      </w:pPr>
    </w:p>
    <w:p w14:paraId="40EF3A1C" w14:textId="77777777" w:rsidR="00883B4D" w:rsidRPr="00136B61" w:rsidRDefault="00883B4D" w:rsidP="00136B61">
      <w:pPr>
        <w:pBdr>
          <w:top w:val="nil"/>
          <w:left w:val="nil"/>
          <w:bottom w:val="nil"/>
          <w:right w:val="nil"/>
          <w:between w:val="nil"/>
        </w:pBdr>
      </w:pPr>
    </w:p>
    <w:p w14:paraId="6F8CCE63" w14:textId="218CC909" w:rsidR="00883B4D" w:rsidRPr="00136B61" w:rsidRDefault="00883B4D" w:rsidP="000B2D15">
      <w:pPr>
        <w:pStyle w:val="Heading1"/>
        <w:keepNext w:val="0"/>
        <w:keepLines w:val="0"/>
        <w:pBdr>
          <w:top w:val="nil"/>
          <w:left w:val="nil"/>
          <w:bottom w:val="nil"/>
          <w:right w:val="nil"/>
          <w:between w:val="nil"/>
        </w:pBdr>
        <w:spacing w:before="0" w:line="288" w:lineRule="auto"/>
        <w:rPr>
          <w:rFonts w:ascii="Times New Roman" w:hAnsi="Times New Roman" w:cs="Times New Roman"/>
          <w:sz w:val="24"/>
          <w:szCs w:val="24"/>
        </w:rPr>
      </w:pPr>
      <w:bookmarkStart w:id="0" w:name="_6kzv642hu1ok" w:colFirst="0" w:colLast="0"/>
      <w:bookmarkEnd w:id="0"/>
      <w:r w:rsidRPr="00136B61">
        <w:rPr>
          <w:rFonts w:ascii="Times New Roman" w:eastAsia="Arial" w:hAnsi="Times New Roman" w:cs="Times New Roman"/>
          <w:i/>
          <w:sz w:val="24"/>
          <w:szCs w:val="24"/>
        </w:rPr>
        <w:t>A Learner-</w:t>
      </w:r>
      <w:proofErr w:type="spellStart"/>
      <w:r w:rsidRPr="00136B61">
        <w:rPr>
          <w:rFonts w:ascii="Times New Roman" w:eastAsia="Arial" w:hAnsi="Times New Roman" w:cs="Times New Roman"/>
          <w:i/>
          <w:sz w:val="24"/>
          <w:szCs w:val="24"/>
        </w:rPr>
        <w:t>Centered</w:t>
      </w:r>
      <w:proofErr w:type="spellEnd"/>
      <w:r w:rsidRPr="00136B61">
        <w:rPr>
          <w:rFonts w:ascii="Times New Roman" w:eastAsia="Arial" w:hAnsi="Times New Roman" w:cs="Times New Roman"/>
          <w:i/>
          <w:sz w:val="24"/>
          <w:szCs w:val="24"/>
        </w:rPr>
        <w:t xml:space="preserve"> Syllabus Helps Set the Tone for Learning</w:t>
      </w:r>
      <w:r w:rsidRPr="00136B61">
        <w:rPr>
          <w:rFonts w:ascii="Times New Roman" w:eastAsia="Arial" w:hAnsi="Times New Roman" w:cs="Times New Roman"/>
          <w:sz w:val="24"/>
          <w:szCs w:val="24"/>
        </w:rPr>
        <w:t xml:space="preserve"> (Bart, 2015; Faculty Focus Article)</w:t>
      </w:r>
      <w:r w:rsidR="000B2D15">
        <w:rPr>
          <w:rFonts w:ascii="Times New Roman" w:eastAsia="Arial" w:hAnsi="Times New Roman" w:cs="Times New Roman"/>
          <w:sz w:val="24"/>
          <w:szCs w:val="24"/>
        </w:rPr>
        <w:t xml:space="preserve">. </w:t>
      </w:r>
      <w:r w:rsidRPr="00136B61">
        <w:rPr>
          <w:rFonts w:ascii="Times New Roman" w:hAnsi="Times New Roman" w:cs="Times New Roman"/>
          <w:sz w:val="24"/>
          <w:szCs w:val="24"/>
        </w:rPr>
        <w:t>A short article, with good examples, on the learner-</w:t>
      </w:r>
      <w:proofErr w:type="spellStart"/>
      <w:r w:rsidRPr="00136B61">
        <w:rPr>
          <w:rFonts w:ascii="Times New Roman" w:hAnsi="Times New Roman" w:cs="Times New Roman"/>
          <w:sz w:val="24"/>
          <w:szCs w:val="24"/>
        </w:rPr>
        <w:t>centered</w:t>
      </w:r>
      <w:proofErr w:type="spellEnd"/>
      <w:r w:rsidRPr="00136B61">
        <w:rPr>
          <w:rFonts w:ascii="Times New Roman" w:hAnsi="Times New Roman" w:cs="Times New Roman"/>
          <w:sz w:val="24"/>
          <w:szCs w:val="24"/>
        </w:rPr>
        <w:t xml:space="preserve"> syllabus</w:t>
      </w:r>
      <w:r w:rsidR="000B2D15">
        <w:rPr>
          <w:rFonts w:ascii="Times New Roman" w:hAnsi="Times New Roman" w:cs="Times New Roman"/>
          <w:sz w:val="24"/>
          <w:szCs w:val="24"/>
        </w:rPr>
        <w:t>:</w:t>
      </w:r>
    </w:p>
    <w:p w14:paraId="47EB3864" w14:textId="70B2FEA3" w:rsidR="00357C3F" w:rsidRPr="00136B61" w:rsidRDefault="00883B4D" w:rsidP="00136B61">
      <w:pPr>
        <w:rPr>
          <w:color w:val="1155CC"/>
          <w:u w:val="single"/>
        </w:rPr>
      </w:pPr>
      <w:hyperlink r:id="rId5">
        <w:r w:rsidRPr="00136B61">
          <w:rPr>
            <w:color w:val="1155CC"/>
            <w:u w:val="single"/>
          </w:rPr>
          <w:t>http://www.facultyfocu</w:t>
        </w:r>
        <w:r w:rsidRPr="00136B61">
          <w:rPr>
            <w:color w:val="1155CC"/>
            <w:u w:val="single"/>
          </w:rPr>
          <w:t>s</w:t>
        </w:r>
        <w:r w:rsidRPr="00136B61">
          <w:rPr>
            <w:color w:val="1155CC"/>
            <w:u w:val="single"/>
          </w:rPr>
          <w:t>.com/articles/effective-classroom-management/a-learner-centered-syllabus-helps-set-the-tone-for-learning/</w:t>
        </w:r>
      </w:hyperlink>
    </w:p>
    <w:p w14:paraId="1DDF9D8A" w14:textId="26AB8762" w:rsidR="00883B4D" w:rsidRPr="00136B61" w:rsidRDefault="00883B4D" w:rsidP="00136B61">
      <w:pPr>
        <w:rPr>
          <w:color w:val="1155CC"/>
          <w:u w:val="single"/>
        </w:rPr>
      </w:pPr>
    </w:p>
    <w:p w14:paraId="10EDC191" w14:textId="595B1A64" w:rsidR="00BF40B6" w:rsidRDefault="00BF40B6" w:rsidP="00BF40B6">
      <w:r w:rsidRPr="000B2D15">
        <w:rPr>
          <w:i/>
          <w:iCs/>
        </w:rPr>
        <w:t>Inclusive Teaching @ UBC</w:t>
      </w:r>
      <w:r>
        <w:t>. This</w:t>
      </w:r>
      <w:r w:rsidRPr="00136B61">
        <w:t xml:space="preserve"> website contains resources </w:t>
      </w:r>
      <w:r>
        <w:t xml:space="preserve">for faculty members on </w:t>
      </w:r>
      <w:r w:rsidRPr="00136B61">
        <w:t xml:space="preserve">diversity and </w:t>
      </w:r>
      <w:r>
        <w:t>inclusion within the classroom</w:t>
      </w:r>
      <w:r w:rsidRPr="00136B61">
        <w:t xml:space="preserve">: </w:t>
      </w:r>
      <w:hyperlink r:id="rId6" w:history="1">
        <w:r w:rsidRPr="00136B61">
          <w:rPr>
            <w:rStyle w:val="Hyperlink"/>
          </w:rPr>
          <w:t>https://inclusiveteaching.ctlt.ubc.ca/resources/resources-for-faculty/</w:t>
        </w:r>
      </w:hyperlink>
    </w:p>
    <w:p w14:paraId="62AAD901" w14:textId="77777777" w:rsidR="00BF40B6" w:rsidRPr="00136B61" w:rsidRDefault="00BF40B6" w:rsidP="00BF40B6"/>
    <w:p w14:paraId="1A4F59E6" w14:textId="7B7C2F9F" w:rsidR="00883B4D" w:rsidRPr="000B2D15" w:rsidRDefault="00883B4D" w:rsidP="00136B61">
      <w:pPr>
        <w:pBdr>
          <w:top w:val="nil"/>
          <w:left w:val="nil"/>
          <w:bottom w:val="nil"/>
          <w:right w:val="nil"/>
          <w:between w:val="nil"/>
        </w:pBdr>
        <w:rPr>
          <w:bCs/>
          <w:color w:val="000000" w:themeColor="text1"/>
        </w:rPr>
      </w:pPr>
      <w:r w:rsidRPr="000B2D15">
        <w:rPr>
          <w:bCs/>
          <w:color w:val="000000" w:themeColor="text1"/>
        </w:rPr>
        <w:t xml:space="preserve">O’Brien, J.G., Mills, B.J. and Cohen, M.W. (1997). </w:t>
      </w:r>
      <w:r w:rsidRPr="000B2D15">
        <w:rPr>
          <w:bCs/>
          <w:i/>
          <w:iCs/>
          <w:color w:val="000000" w:themeColor="text1"/>
        </w:rPr>
        <w:t>The Course Syllabus: A learning-centred approach.</w:t>
      </w:r>
      <w:r w:rsidRPr="000B2D15">
        <w:rPr>
          <w:bCs/>
          <w:color w:val="000000" w:themeColor="text1"/>
        </w:rPr>
        <w:t xml:space="preserve"> </w:t>
      </w:r>
      <w:r w:rsidR="00E565FA" w:rsidRPr="000B2D15">
        <w:rPr>
          <w:bCs/>
          <w:color w:val="000000" w:themeColor="text1"/>
        </w:rPr>
        <w:t xml:space="preserve">San Francisco, CA: Jossey-Bass. </w:t>
      </w:r>
    </w:p>
    <w:p w14:paraId="1D7582AF" w14:textId="1315D31A" w:rsidR="00883B4D" w:rsidRPr="00136B61" w:rsidRDefault="00883B4D" w:rsidP="00136B61"/>
    <w:p w14:paraId="41C4829C" w14:textId="630BD84D" w:rsidR="00255640" w:rsidRDefault="00E565FA" w:rsidP="00136B61">
      <w:r w:rsidRPr="00136B61">
        <w:t>Sheridan Centre for Teaching and Learning @ Brown University</w:t>
      </w:r>
      <w:r w:rsidR="00255640" w:rsidRPr="00136B61">
        <w:t>. This webpage include</w:t>
      </w:r>
      <w:r w:rsidR="000B2D15">
        <w:t>s</w:t>
      </w:r>
      <w:r w:rsidR="00255640" w:rsidRPr="00136B61">
        <w:t xml:space="preserve"> some </w:t>
      </w:r>
      <w:r w:rsidR="000B2D15">
        <w:t>sample</w:t>
      </w:r>
      <w:r w:rsidR="00255640" w:rsidRPr="00136B61">
        <w:t xml:space="preserve"> </w:t>
      </w:r>
      <w:r w:rsidR="00255640" w:rsidRPr="000B2D15">
        <w:rPr>
          <w:i/>
          <w:iCs/>
        </w:rPr>
        <w:t>Diversity &amp; Inclusion syllabus statements</w:t>
      </w:r>
      <w:r w:rsidR="00255640" w:rsidRPr="00136B61">
        <w:t xml:space="preserve">: </w:t>
      </w:r>
      <w:hyperlink r:id="rId7" w:history="1">
        <w:r w:rsidR="00255640" w:rsidRPr="00136B61">
          <w:rPr>
            <w:rStyle w:val="Hyperlink"/>
          </w:rPr>
          <w:t>https://www.brown.edu/sheridan/teaching-learning-resources/inclusive-teaching/statements</w:t>
        </w:r>
      </w:hyperlink>
    </w:p>
    <w:p w14:paraId="5875F2D0" w14:textId="77777777" w:rsidR="00BF40B6" w:rsidRPr="00136B61" w:rsidRDefault="00BF40B6" w:rsidP="00136B61"/>
    <w:p w14:paraId="5B211D1B" w14:textId="77777777" w:rsidR="00BF40B6" w:rsidRPr="00136B61" w:rsidRDefault="00BF40B6" w:rsidP="00BF40B6">
      <w:pPr>
        <w:pBdr>
          <w:top w:val="nil"/>
          <w:left w:val="nil"/>
          <w:bottom w:val="nil"/>
          <w:right w:val="nil"/>
          <w:between w:val="nil"/>
        </w:pBdr>
      </w:pPr>
      <w:r w:rsidRPr="00136B61">
        <w:rPr>
          <w:i/>
        </w:rPr>
        <w:t xml:space="preserve">Syllabus Best Practices </w:t>
      </w:r>
      <w:r w:rsidRPr="00136B61">
        <w:t>(IOWA State University)</w:t>
      </w:r>
    </w:p>
    <w:p w14:paraId="20666DE7" w14:textId="77777777" w:rsidR="00BF40B6" w:rsidRPr="00136B61" w:rsidRDefault="00BF40B6" w:rsidP="00BF40B6">
      <w:pPr>
        <w:pBdr>
          <w:top w:val="nil"/>
          <w:left w:val="nil"/>
          <w:bottom w:val="nil"/>
          <w:right w:val="nil"/>
          <w:between w:val="nil"/>
        </w:pBdr>
      </w:pPr>
      <w:r w:rsidRPr="00136B61">
        <w:t>Concise list of elements in a learner-centered syllabus</w:t>
      </w:r>
      <w:r>
        <w:t>:</w:t>
      </w:r>
      <w:r w:rsidRPr="00136B61">
        <w:t xml:space="preserve">  </w:t>
      </w:r>
    </w:p>
    <w:p w14:paraId="1492E946" w14:textId="77777777" w:rsidR="00BF40B6" w:rsidRPr="00136B61" w:rsidRDefault="00BF40B6" w:rsidP="00BF40B6">
      <w:pPr>
        <w:pBdr>
          <w:top w:val="nil"/>
          <w:left w:val="nil"/>
          <w:bottom w:val="nil"/>
          <w:right w:val="nil"/>
          <w:between w:val="nil"/>
        </w:pBdr>
      </w:pPr>
      <w:hyperlink r:id="rId8">
        <w:r w:rsidRPr="00136B61">
          <w:rPr>
            <w:color w:val="1155CC"/>
            <w:u w:val="single"/>
          </w:rPr>
          <w:t>http://www.celt.iastate.edu/teaching/preparing-to-teach/how-to-create-an-effective-syllabus</w:t>
        </w:r>
      </w:hyperlink>
      <w:r w:rsidRPr="00136B61">
        <w:t xml:space="preserve"> </w:t>
      </w:r>
    </w:p>
    <w:p w14:paraId="639B7855" w14:textId="4320D735" w:rsidR="00E565FA" w:rsidRPr="00136B61" w:rsidRDefault="00E565FA" w:rsidP="00136B61"/>
    <w:p w14:paraId="74425D4F" w14:textId="310292A4" w:rsidR="00BF40B6" w:rsidRDefault="00BF40B6" w:rsidP="00BF40B6">
      <w:pPr>
        <w:rPr>
          <w:color w:val="000000" w:themeColor="text1"/>
        </w:rPr>
      </w:pPr>
      <w:r w:rsidRPr="000B2D15">
        <w:rPr>
          <w:i/>
          <w:iCs/>
          <w:color w:val="000000" w:themeColor="text1"/>
        </w:rPr>
        <w:t>Tulane University’s Accessible Syllabus</w:t>
      </w:r>
      <w:r w:rsidRPr="000B2D15">
        <w:rPr>
          <w:color w:val="000000" w:themeColor="text1"/>
        </w:rPr>
        <w:t xml:space="preserve">: </w:t>
      </w:r>
      <w:r w:rsidRPr="000B2D15">
        <w:rPr>
          <w:color w:val="000000" w:themeColor="text1"/>
          <w:shd w:val="clear" w:color="auto" w:fill="FFFFFF"/>
        </w:rPr>
        <w:t xml:space="preserve">The Accessible Syllabus is an interesting project at Tulane University dedicated to “helping instructors build a syllabus that plans for diverse student abilities and promotes an atmosphere in which students feel comfortable discussing their unique abilities”.  The site provides advice on images, language and policies you might include in your syllabus.  There are also some examples of redesigned syllabi: </w:t>
      </w:r>
      <w:r w:rsidRPr="000B2D15">
        <w:rPr>
          <w:color w:val="000000" w:themeColor="text1"/>
        </w:rPr>
        <w:t xml:space="preserve"> </w:t>
      </w:r>
      <w:r w:rsidRPr="000B2D15">
        <w:rPr>
          <w:color w:val="000000" w:themeColor="text1"/>
        </w:rPr>
        <w:fldChar w:fldCharType="begin"/>
      </w:r>
      <w:r w:rsidRPr="000B2D15">
        <w:rPr>
          <w:color w:val="000000" w:themeColor="text1"/>
        </w:rPr>
        <w:instrText xml:space="preserve"> HYPERLINK "https://www.accessiblesyllabus.com/" </w:instrText>
      </w:r>
      <w:r w:rsidRPr="000B2D15">
        <w:rPr>
          <w:color w:val="000000" w:themeColor="text1"/>
        </w:rPr>
        <w:fldChar w:fldCharType="separate"/>
      </w:r>
      <w:r w:rsidRPr="000B2D15">
        <w:rPr>
          <w:color w:val="000000" w:themeColor="text1"/>
          <w:u w:val="single"/>
        </w:rPr>
        <w:t>https://www.accessiblesyllabus.com/</w:t>
      </w:r>
      <w:r w:rsidRPr="000B2D15">
        <w:rPr>
          <w:color w:val="000000" w:themeColor="text1"/>
        </w:rPr>
        <w:fldChar w:fldCharType="end"/>
      </w:r>
    </w:p>
    <w:p w14:paraId="4AC069A1" w14:textId="77777777" w:rsidR="00BF40B6" w:rsidRPr="000B2D15" w:rsidRDefault="00BF40B6" w:rsidP="00BF40B6">
      <w:pPr>
        <w:rPr>
          <w:color w:val="000000" w:themeColor="text1"/>
        </w:rPr>
      </w:pPr>
    </w:p>
    <w:p w14:paraId="60E5AEB1" w14:textId="01F1C236" w:rsidR="00255640" w:rsidRDefault="00255640" w:rsidP="00136B61">
      <w:r w:rsidRPr="00136B61">
        <w:t xml:space="preserve">UBC Indigenous Peoples: </w:t>
      </w:r>
      <w:r w:rsidRPr="000B2D15">
        <w:rPr>
          <w:i/>
          <w:iCs/>
        </w:rPr>
        <w:t>Language Guidelines</w:t>
      </w:r>
      <w:r w:rsidRPr="00136B61">
        <w:t xml:space="preserve">, 2018: </w:t>
      </w:r>
      <w:hyperlink r:id="rId9" w:history="1">
        <w:r w:rsidRPr="00136B61">
          <w:rPr>
            <w:rStyle w:val="Hyperlink"/>
          </w:rPr>
          <w:t>http://assets.brand.ubc.ca/downloads/ubc_indigenous_peoples_language_guide.pdf</w:t>
        </w:r>
      </w:hyperlink>
    </w:p>
    <w:p w14:paraId="32B4343C" w14:textId="77777777" w:rsidR="00BF40B6" w:rsidRPr="00136B61" w:rsidRDefault="00BF40B6" w:rsidP="00136B61"/>
    <w:p w14:paraId="6F463011" w14:textId="77777777" w:rsidR="00BF40B6" w:rsidRPr="00136B61" w:rsidRDefault="00BF40B6" w:rsidP="00BF40B6">
      <w:pPr>
        <w:pBdr>
          <w:top w:val="nil"/>
          <w:left w:val="nil"/>
          <w:bottom w:val="nil"/>
          <w:right w:val="nil"/>
          <w:between w:val="nil"/>
        </w:pBdr>
        <w:rPr>
          <w:i/>
        </w:rPr>
      </w:pPr>
      <w:r w:rsidRPr="00136B61">
        <w:rPr>
          <w:i/>
        </w:rPr>
        <w:t>UBC Vancouver Senate Policy V-130: Content &amp; Distribution of Course Syllabi:</w:t>
      </w:r>
    </w:p>
    <w:p w14:paraId="72AEF974" w14:textId="77777777" w:rsidR="00BF40B6" w:rsidRPr="00136B61" w:rsidRDefault="00BF40B6" w:rsidP="00BF40B6">
      <w:r w:rsidRPr="00136B61">
        <w:fldChar w:fldCharType="begin"/>
      </w:r>
      <w:r w:rsidRPr="00136B61">
        <w:instrText xml:space="preserve"> HYPERLINK "https://senate.ubc.ca/sites/senate.ubc.ca/files/downloads/Policy-20190207-V-130-Syllabus.pdf" </w:instrText>
      </w:r>
      <w:r w:rsidRPr="00136B61">
        <w:fldChar w:fldCharType="separate"/>
      </w:r>
      <w:r w:rsidRPr="00136B61">
        <w:rPr>
          <w:rStyle w:val="Hyperlink"/>
        </w:rPr>
        <w:t>https://senate.ubc.ca/sites/senate.ubc.ca/files/downloads/Policy-20190207-V-130-Syllabus.pdf</w:t>
      </w:r>
      <w:r w:rsidRPr="00136B61">
        <w:fldChar w:fldCharType="end"/>
      </w:r>
    </w:p>
    <w:p w14:paraId="3DA4CBF4" w14:textId="77777777" w:rsidR="00BF40B6" w:rsidRPr="00136B61" w:rsidRDefault="00BF40B6" w:rsidP="00BF40B6">
      <w:pPr>
        <w:pBdr>
          <w:top w:val="nil"/>
          <w:left w:val="nil"/>
          <w:bottom w:val="nil"/>
          <w:right w:val="nil"/>
          <w:between w:val="nil"/>
        </w:pBdr>
        <w:rPr>
          <w:i/>
        </w:rPr>
      </w:pPr>
    </w:p>
    <w:p w14:paraId="7631305F" w14:textId="77777777" w:rsidR="00BF40B6" w:rsidRPr="00136B61" w:rsidRDefault="00BF40B6" w:rsidP="00BF40B6">
      <w:pPr>
        <w:pBdr>
          <w:top w:val="nil"/>
          <w:left w:val="nil"/>
          <w:bottom w:val="nil"/>
          <w:right w:val="nil"/>
          <w:between w:val="nil"/>
        </w:pBdr>
        <w:spacing w:before="100"/>
        <w:ind w:left="720"/>
      </w:pPr>
      <w:r w:rsidRPr="00136B61">
        <w:rPr>
          <w:iCs/>
        </w:rPr>
        <w:t xml:space="preserve">UBC Course Syllabus Template and </w:t>
      </w:r>
      <w:r w:rsidRPr="00136B61">
        <w:rPr>
          <w:iCs/>
        </w:rPr>
        <w:t xml:space="preserve">Example: </w:t>
      </w:r>
      <w:hyperlink r:id="rId10" w:history="1">
        <w:r w:rsidRPr="00136B61">
          <w:rPr>
            <w:rStyle w:val="Hyperlink"/>
            <w:iCs/>
          </w:rPr>
          <w:t>http://senate.ubc.ca/sites/senate.ubc.ca/files/downloads/va_H_Syllabus_Template_Example.pdf</w:t>
        </w:r>
      </w:hyperlink>
      <w:r w:rsidRPr="00136B61">
        <w:rPr>
          <w:iCs/>
        </w:rPr>
        <w:t xml:space="preserve"> </w:t>
      </w:r>
    </w:p>
    <w:p w14:paraId="58199975" w14:textId="77777777" w:rsidR="00BF40B6" w:rsidRPr="00136B61" w:rsidRDefault="00BF40B6" w:rsidP="00BF40B6">
      <w:pPr>
        <w:pBdr>
          <w:top w:val="nil"/>
          <w:left w:val="nil"/>
          <w:bottom w:val="nil"/>
          <w:right w:val="nil"/>
          <w:between w:val="nil"/>
        </w:pBdr>
        <w:spacing w:before="100"/>
        <w:ind w:firstLine="720"/>
      </w:pPr>
      <w:r w:rsidRPr="000B2D15">
        <w:rPr>
          <w:iCs/>
        </w:rPr>
        <w:t>Instructions</w:t>
      </w:r>
      <w:r w:rsidRPr="00136B61">
        <w:t xml:space="preserve"> for using the Course Syllabus Template: </w:t>
      </w:r>
      <w:r w:rsidRPr="00136B61">
        <w:fldChar w:fldCharType="begin"/>
      </w:r>
      <w:r w:rsidRPr="00136B61">
        <w:instrText xml:space="preserve"> HYPERLINK "</w:instrText>
      </w:r>
    </w:p>
    <w:p w14:paraId="6920FB89" w14:textId="77777777" w:rsidR="00BF40B6" w:rsidRPr="00136B61" w:rsidRDefault="00BF40B6" w:rsidP="00BF40B6">
      <w:pPr>
        <w:pStyle w:val="ListParagraph"/>
        <w:numPr>
          <w:ilvl w:val="0"/>
          <w:numId w:val="7"/>
        </w:numPr>
        <w:pBdr>
          <w:top w:val="nil"/>
          <w:left w:val="nil"/>
          <w:bottom w:val="nil"/>
          <w:right w:val="nil"/>
          <w:between w:val="nil"/>
        </w:pBdr>
        <w:spacing w:before="100"/>
        <w:ind w:left="1440"/>
      </w:pPr>
      <w:r w:rsidRPr="00136B61">
        <w:instrText>https://wiki.ubc.ca/images/a/af/Ubc-course-syllabus-template.docx</w:instrText>
      </w:r>
    </w:p>
    <w:p w14:paraId="315EB566" w14:textId="77777777" w:rsidR="00BF40B6" w:rsidRPr="00136B61" w:rsidRDefault="00BF40B6" w:rsidP="00BF40B6">
      <w:pPr>
        <w:pStyle w:val="ListParagraph"/>
        <w:numPr>
          <w:ilvl w:val="0"/>
          <w:numId w:val="7"/>
        </w:numPr>
        <w:pBdr>
          <w:top w:val="nil"/>
          <w:left w:val="nil"/>
          <w:bottom w:val="nil"/>
          <w:right w:val="nil"/>
          <w:between w:val="nil"/>
        </w:pBdr>
        <w:spacing w:before="100"/>
        <w:ind w:left="1440"/>
        <w:rPr>
          <w:rStyle w:val="Hyperlink"/>
        </w:rPr>
      </w:pPr>
      <w:r w:rsidRPr="00136B61">
        <w:instrText xml:space="preserve">" </w:instrText>
      </w:r>
      <w:r w:rsidRPr="00136B61">
        <w:fldChar w:fldCharType="separate"/>
      </w:r>
    </w:p>
    <w:p w14:paraId="0B43CD1F" w14:textId="10345D30" w:rsidR="00255640" w:rsidRPr="00136B61" w:rsidRDefault="00BF40B6" w:rsidP="00BF40B6">
      <w:pPr>
        <w:pBdr>
          <w:top w:val="nil"/>
          <w:left w:val="nil"/>
          <w:bottom w:val="nil"/>
          <w:right w:val="nil"/>
          <w:between w:val="nil"/>
        </w:pBdr>
        <w:spacing w:before="100"/>
        <w:ind w:left="720"/>
      </w:pPr>
      <w:r w:rsidRPr="00136B61">
        <w:rPr>
          <w:rStyle w:val="Hyperlink"/>
        </w:rPr>
        <w:t>h</w:t>
      </w:r>
      <w:r w:rsidRPr="00136B61">
        <w:rPr>
          <w:rStyle w:val="Hyperlink"/>
        </w:rPr>
        <w:t>ttps://w</w:t>
      </w:r>
      <w:r w:rsidRPr="00136B61">
        <w:rPr>
          <w:rStyle w:val="Hyperlink"/>
        </w:rPr>
        <w:t>i</w:t>
      </w:r>
      <w:r w:rsidRPr="00136B61">
        <w:rPr>
          <w:rStyle w:val="Hyperlink"/>
        </w:rPr>
        <w:t>ki.ubc.ca/images/a/af/Ubc-course-syllabus-template.docx</w:t>
      </w:r>
      <w:r w:rsidRPr="00136B61">
        <w:fldChar w:fldCharType="end"/>
      </w:r>
      <w:bookmarkStart w:id="1" w:name="_GoBack"/>
      <w:bookmarkEnd w:id="1"/>
    </w:p>
    <w:p w14:paraId="217D55E6" w14:textId="0481EBB1" w:rsidR="00E565FA" w:rsidRPr="00136B61" w:rsidRDefault="00E565FA" w:rsidP="00136B61"/>
    <w:sectPr w:rsidR="00E565FA" w:rsidRPr="00136B61" w:rsidSect="00136B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90F"/>
    <w:multiLevelType w:val="hybridMultilevel"/>
    <w:tmpl w:val="24A2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E1364"/>
    <w:multiLevelType w:val="multilevel"/>
    <w:tmpl w:val="1D8A9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1C2B04"/>
    <w:multiLevelType w:val="multilevel"/>
    <w:tmpl w:val="0BA40D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924795"/>
    <w:multiLevelType w:val="multilevel"/>
    <w:tmpl w:val="CEFAF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EF78FB"/>
    <w:multiLevelType w:val="multilevel"/>
    <w:tmpl w:val="25604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52D6C1E"/>
    <w:multiLevelType w:val="multilevel"/>
    <w:tmpl w:val="ED28C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BD111BD"/>
    <w:multiLevelType w:val="hybridMultilevel"/>
    <w:tmpl w:val="793C8214"/>
    <w:lvl w:ilvl="0" w:tplc="04090001">
      <w:start w:val="1"/>
      <w:numFmt w:val="bullet"/>
      <w:lvlText w:val=""/>
      <w:lvlJc w:val="left"/>
      <w:pPr>
        <w:ind w:left="-82" w:hanging="360"/>
      </w:pPr>
      <w:rPr>
        <w:rFonts w:ascii="Symbol" w:hAnsi="Symbol" w:hint="default"/>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4D"/>
    <w:rsid w:val="000B2D15"/>
    <w:rsid w:val="00121E1B"/>
    <w:rsid w:val="00136B61"/>
    <w:rsid w:val="00255640"/>
    <w:rsid w:val="002D4135"/>
    <w:rsid w:val="0048074A"/>
    <w:rsid w:val="00883B4D"/>
    <w:rsid w:val="008F791F"/>
    <w:rsid w:val="00BF40B6"/>
    <w:rsid w:val="00D22598"/>
    <w:rsid w:val="00E565FA"/>
    <w:rsid w:val="00F25927"/>
    <w:rsid w:val="00F73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EA491A9"/>
  <w15:chartTrackingRefBased/>
  <w15:docId w15:val="{A2372B51-E840-8B4D-876F-6BC2A1E9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40"/>
    <w:rPr>
      <w:rFonts w:ascii="Times New Roman" w:eastAsia="Times New Roman" w:hAnsi="Times New Roman" w:cs="Times New Roman"/>
    </w:rPr>
  </w:style>
  <w:style w:type="paragraph" w:styleId="Heading1">
    <w:name w:val="heading 1"/>
    <w:basedOn w:val="Normal"/>
    <w:next w:val="Normal"/>
    <w:link w:val="Heading1Char"/>
    <w:uiPriority w:val="9"/>
    <w:qFormat/>
    <w:rsid w:val="00883B4D"/>
    <w:pPr>
      <w:keepNext/>
      <w:keepLines/>
      <w:spacing w:before="200" w:line="276" w:lineRule="auto"/>
      <w:outlineLvl w:val="0"/>
    </w:pPr>
    <w:rPr>
      <w:rFonts w:ascii="Trebuchet MS" w:eastAsia="Trebuchet MS" w:hAnsi="Trebuchet MS" w:cs="Trebuchet MS"/>
      <w:sz w:val="32"/>
      <w:szCs w:val="3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B4D"/>
    <w:rPr>
      <w:rFonts w:ascii="Trebuchet MS" w:eastAsia="Trebuchet MS" w:hAnsi="Trebuchet MS" w:cs="Trebuchet MS"/>
      <w:sz w:val="32"/>
      <w:szCs w:val="32"/>
      <w:lang w:val="en-GB"/>
    </w:rPr>
  </w:style>
  <w:style w:type="character" w:styleId="Hyperlink">
    <w:name w:val="Hyperlink"/>
    <w:basedOn w:val="DefaultParagraphFont"/>
    <w:uiPriority w:val="99"/>
    <w:unhideWhenUsed/>
    <w:rsid w:val="00883B4D"/>
    <w:rPr>
      <w:color w:val="0000FF"/>
      <w:u w:val="single"/>
    </w:rPr>
  </w:style>
  <w:style w:type="character" w:styleId="FollowedHyperlink">
    <w:name w:val="FollowedHyperlink"/>
    <w:basedOn w:val="DefaultParagraphFont"/>
    <w:uiPriority w:val="99"/>
    <w:semiHidden/>
    <w:unhideWhenUsed/>
    <w:rsid w:val="00F73D12"/>
    <w:rPr>
      <w:color w:val="954F72" w:themeColor="followedHyperlink"/>
      <w:u w:val="single"/>
    </w:rPr>
  </w:style>
  <w:style w:type="character" w:styleId="UnresolvedMention">
    <w:name w:val="Unresolved Mention"/>
    <w:basedOn w:val="DefaultParagraphFont"/>
    <w:uiPriority w:val="99"/>
    <w:semiHidden/>
    <w:unhideWhenUsed/>
    <w:rsid w:val="00136B61"/>
    <w:rPr>
      <w:color w:val="605E5C"/>
      <w:shd w:val="clear" w:color="auto" w:fill="E1DFDD"/>
    </w:rPr>
  </w:style>
  <w:style w:type="paragraph" w:styleId="ListParagraph">
    <w:name w:val="List Paragraph"/>
    <w:basedOn w:val="Normal"/>
    <w:uiPriority w:val="34"/>
    <w:qFormat/>
    <w:rsid w:val="00136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8447">
      <w:bodyDiv w:val="1"/>
      <w:marLeft w:val="0"/>
      <w:marRight w:val="0"/>
      <w:marTop w:val="0"/>
      <w:marBottom w:val="0"/>
      <w:divBdr>
        <w:top w:val="none" w:sz="0" w:space="0" w:color="auto"/>
        <w:left w:val="none" w:sz="0" w:space="0" w:color="auto"/>
        <w:bottom w:val="none" w:sz="0" w:space="0" w:color="auto"/>
        <w:right w:val="none" w:sz="0" w:space="0" w:color="auto"/>
      </w:divBdr>
      <w:divsChild>
        <w:div w:id="577520998">
          <w:marLeft w:val="0"/>
          <w:marRight w:val="0"/>
          <w:marTop w:val="0"/>
          <w:marBottom w:val="0"/>
          <w:divBdr>
            <w:top w:val="none" w:sz="0" w:space="0" w:color="auto"/>
            <w:left w:val="none" w:sz="0" w:space="0" w:color="auto"/>
            <w:bottom w:val="none" w:sz="0" w:space="0" w:color="auto"/>
            <w:right w:val="none" w:sz="0" w:space="0" w:color="auto"/>
          </w:divBdr>
        </w:div>
      </w:divsChild>
    </w:div>
    <w:div w:id="313491098">
      <w:bodyDiv w:val="1"/>
      <w:marLeft w:val="0"/>
      <w:marRight w:val="0"/>
      <w:marTop w:val="0"/>
      <w:marBottom w:val="0"/>
      <w:divBdr>
        <w:top w:val="none" w:sz="0" w:space="0" w:color="auto"/>
        <w:left w:val="none" w:sz="0" w:space="0" w:color="auto"/>
        <w:bottom w:val="none" w:sz="0" w:space="0" w:color="auto"/>
        <w:right w:val="none" w:sz="0" w:space="0" w:color="auto"/>
      </w:divBdr>
    </w:div>
    <w:div w:id="704134669">
      <w:bodyDiv w:val="1"/>
      <w:marLeft w:val="0"/>
      <w:marRight w:val="0"/>
      <w:marTop w:val="0"/>
      <w:marBottom w:val="0"/>
      <w:divBdr>
        <w:top w:val="none" w:sz="0" w:space="0" w:color="auto"/>
        <w:left w:val="none" w:sz="0" w:space="0" w:color="auto"/>
        <w:bottom w:val="none" w:sz="0" w:space="0" w:color="auto"/>
        <w:right w:val="none" w:sz="0" w:space="0" w:color="auto"/>
      </w:divBdr>
    </w:div>
    <w:div w:id="1217352374">
      <w:bodyDiv w:val="1"/>
      <w:marLeft w:val="0"/>
      <w:marRight w:val="0"/>
      <w:marTop w:val="0"/>
      <w:marBottom w:val="0"/>
      <w:divBdr>
        <w:top w:val="none" w:sz="0" w:space="0" w:color="auto"/>
        <w:left w:val="none" w:sz="0" w:space="0" w:color="auto"/>
        <w:bottom w:val="none" w:sz="0" w:space="0" w:color="auto"/>
        <w:right w:val="none" w:sz="0" w:space="0" w:color="auto"/>
      </w:divBdr>
      <w:divsChild>
        <w:div w:id="973947533">
          <w:marLeft w:val="0"/>
          <w:marRight w:val="0"/>
          <w:marTop w:val="0"/>
          <w:marBottom w:val="0"/>
          <w:divBdr>
            <w:top w:val="none" w:sz="0" w:space="0" w:color="auto"/>
            <w:left w:val="none" w:sz="0" w:space="0" w:color="auto"/>
            <w:bottom w:val="none" w:sz="0" w:space="0" w:color="auto"/>
            <w:right w:val="none" w:sz="0" w:space="0" w:color="auto"/>
          </w:divBdr>
        </w:div>
      </w:divsChild>
    </w:div>
    <w:div w:id="1258714906">
      <w:bodyDiv w:val="1"/>
      <w:marLeft w:val="0"/>
      <w:marRight w:val="0"/>
      <w:marTop w:val="0"/>
      <w:marBottom w:val="0"/>
      <w:divBdr>
        <w:top w:val="none" w:sz="0" w:space="0" w:color="auto"/>
        <w:left w:val="none" w:sz="0" w:space="0" w:color="auto"/>
        <w:bottom w:val="none" w:sz="0" w:space="0" w:color="auto"/>
        <w:right w:val="none" w:sz="0" w:space="0" w:color="auto"/>
      </w:divBdr>
    </w:div>
    <w:div w:id="1483161357">
      <w:bodyDiv w:val="1"/>
      <w:marLeft w:val="0"/>
      <w:marRight w:val="0"/>
      <w:marTop w:val="0"/>
      <w:marBottom w:val="0"/>
      <w:divBdr>
        <w:top w:val="none" w:sz="0" w:space="0" w:color="auto"/>
        <w:left w:val="none" w:sz="0" w:space="0" w:color="auto"/>
        <w:bottom w:val="none" w:sz="0" w:space="0" w:color="auto"/>
        <w:right w:val="none" w:sz="0" w:space="0" w:color="auto"/>
      </w:divBdr>
    </w:div>
    <w:div w:id="1679770837">
      <w:bodyDiv w:val="1"/>
      <w:marLeft w:val="0"/>
      <w:marRight w:val="0"/>
      <w:marTop w:val="0"/>
      <w:marBottom w:val="0"/>
      <w:divBdr>
        <w:top w:val="none" w:sz="0" w:space="0" w:color="auto"/>
        <w:left w:val="none" w:sz="0" w:space="0" w:color="auto"/>
        <w:bottom w:val="none" w:sz="0" w:space="0" w:color="auto"/>
        <w:right w:val="none" w:sz="0" w:space="0" w:color="auto"/>
      </w:divBdr>
      <w:divsChild>
        <w:div w:id="1113982906">
          <w:marLeft w:val="0"/>
          <w:marRight w:val="0"/>
          <w:marTop w:val="0"/>
          <w:marBottom w:val="0"/>
          <w:divBdr>
            <w:top w:val="none" w:sz="0" w:space="0" w:color="auto"/>
            <w:left w:val="none" w:sz="0" w:space="0" w:color="auto"/>
            <w:bottom w:val="none" w:sz="0" w:space="0" w:color="auto"/>
            <w:right w:val="none" w:sz="0" w:space="0" w:color="auto"/>
          </w:divBdr>
        </w:div>
      </w:divsChild>
    </w:div>
    <w:div w:id="1705517623">
      <w:bodyDiv w:val="1"/>
      <w:marLeft w:val="0"/>
      <w:marRight w:val="0"/>
      <w:marTop w:val="0"/>
      <w:marBottom w:val="0"/>
      <w:divBdr>
        <w:top w:val="none" w:sz="0" w:space="0" w:color="auto"/>
        <w:left w:val="none" w:sz="0" w:space="0" w:color="auto"/>
        <w:bottom w:val="none" w:sz="0" w:space="0" w:color="auto"/>
        <w:right w:val="none" w:sz="0" w:space="0" w:color="auto"/>
      </w:divBdr>
    </w:div>
    <w:div w:id="1898709028">
      <w:bodyDiv w:val="1"/>
      <w:marLeft w:val="0"/>
      <w:marRight w:val="0"/>
      <w:marTop w:val="0"/>
      <w:marBottom w:val="0"/>
      <w:divBdr>
        <w:top w:val="none" w:sz="0" w:space="0" w:color="auto"/>
        <w:left w:val="none" w:sz="0" w:space="0" w:color="auto"/>
        <w:bottom w:val="none" w:sz="0" w:space="0" w:color="auto"/>
        <w:right w:val="none" w:sz="0" w:space="0" w:color="auto"/>
      </w:divBdr>
    </w:div>
    <w:div w:id="19203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t.iastate.edu/teaching/preparing-to-teach/how-to-create-an-effective-syllabus" TargetMode="External"/><Relationship Id="rId3" Type="http://schemas.openxmlformats.org/officeDocument/2006/relationships/settings" Target="settings.xml"/><Relationship Id="rId7" Type="http://schemas.openxmlformats.org/officeDocument/2006/relationships/hyperlink" Target="https://www.brown.edu/sheridan/teaching-learning-resources/inclusive-teaching/state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clusiveteaching.ctlt.ubc.ca/resources/resources-for-faculty/" TargetMode="External"/><Relationship Id="rId11" Type="http://schemas.openxmlformats.org/officeDocument/2006/relationships/fontTable" Target="fontTable.xml"/><Relationship Id="rId5" Type="http://schemas.openxmlformats.org/officeDocument/2006/relationships/hyperlink" Target="http://www.facultyfocus.com/articles/effective-classroom-management/a-learner-centered-syllabus-helps-set-the-tone-for-learning/" TargetMode="External"/><Relationship Id="rId10" Type="http://schemas.openxmlformats.org/officeDocument/2006/relationships/hyperlink" Target="http://senate.ubc.ca/sites/senate.ubc.ca/files/downloads/va_H_Syllabus_Template_Example.pdf" TargetMode="External"/><Relationship Id="rId4" Type="http://schemas.openxmlformats.org/officeDocument/2006/relationships/webSettings" Target="webSettings.xml"/><Relationship Id="rId9" Type="http://schemas.openxmlformats.org/officeDocument/2006/relationships/hyperlink" Target="http://assets.brand.ubc.ca/downloads/ubc_indigenous_peoples_language_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2019-07-30T17:55:00Z</dcterms:created>
  <dcterms:modified xsi:type="dcterms:W3CDTF">2019-07-30T21:09:00Z</dcterms:modified>
</cp:coreProperties>
</file>