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46"/>
        <w:gridCol w:w="1728"/>
        <w:gridCol w:w="1853"/>
        <w:gridCol w:w="1728"/>
        <w:gridCol w:w="1853"/>
        <w:gridCol w:w="2792"/>
      </w:tblGrid>
      <w:tr w:rsidR="00D02F99" w:rsidTr="00163ADB">
        <w:trPr>
          <w:trHeight w:val="254"/>
        </w:trPr>
        <w:tc>
          <w:tcPr>
            <w:tcW w:w="0" w:type="auto"/>
            <w:gridSpan w:val="6"/>
            <w:vMerge w:val="restart"/>
            <w:tcBorders>
              <w:top w:val="nil"/>
              <w:left w:val="nil"/>
              <w:bottom w:val="nil"/>
              <w:right w:val="nil"/>
            </w:tcBorders>
            <w:shd w:val="clear" w:color="auto" w:fill="DDEEFF"/>
            <w:tcMar>
              <w:top w:w="30" w:type="dxa"/>
              <w:left w:w="30" w:type="dxa"/>
              <w:bottom w:w="30" w:type="dxa"/>
              <w:right w:w="30" w:type="dxa"/>
            </w:tcMar>
            <w:vAlign w:val="center"/>
            <w:hideMark/>
          </w:tcPr>
          <w:p w:rsidR="00D02F99" w:rsidRPr="0029268C" w:rsidRDefault="00D02F99" w:rsidP="00D02F99">
            <w:pPr>
              <w:pStyle w:val="ListParagraph"/>
              <w:numPr>
                <w:ilvl w:val="0"/>
                <w:numId w:val="1"/>
              </w:numPr>
              <w:jc w:val="center"/>
              <w:rPr>
                <w:rFonts w:ascii="Times" w:eastAsia="Times New Roman" w:hAnsi="Times" w:cs="Times New Roman"/>
                <w:b/>
                <w:bCs/>
                <w:color w:val="333333"/>
                <w:sz w:val="22"/>
                <w:szCs w:val="22"/>
              </w:rPr>
            </w:pPr>
            <w:r w:rsidRPr="0029268C">
              <w:rPr>
                <w:rStyle w:val="wb-invisible"/>
                <w:rFonts w:eastAsia="Times New Roman" w:cs="Times New Roman"/>
                <w:b/>
                <w:bCs/>
                <w:color w:val="333333"/>
                <w:sz w:val="22"/>
                <w:szCs w:val="22"/>
              </w:rPr>
              <w:t>Table 1</w:t>
            </w:r>
            <w:r w:rsidRPr="0029268C">
              <w:rPr>
                <w:rFonts w:eastAsia="Times New Roman" w:cs="Times New Roman"/>
                <w:b/>
                <w:bCs/>
                <w:color w:val="333333"/>
                <w:sz w:val="22"/>
                <w:szCs w:val="22"/>
              </w:rPr>
              <w:br/>
            </w:r>
            <w:r w:rsidRPr="0029268C">
              <w:rPr>
                <w:rStyle w:val="wb-invisible"/>
                <w:rFonts w:eastAsia="Times New Roman" w:cs="Times New Roman"/>
                <w:b/>
                <w:bCs/>
                <w:color w:val="333333"/>
                <w:sz w:val="22"/>
                <w:szCs w:val="22"/>
              </w:rPr>
              <w:t>Employment trends of women and men aged 15 and over, 1976 to 2009</w:t>
            </w:r>
            <w:r w:rsidRPr="0029268C">
              <w:rPr>
                <w:rFonts w:eastAsia="Times New Roman" w:cs="Times New Roman"/>
                <w:b/>
                <w:bCs/>
                <w:color w:val="333333"/>
                <w:sz w:val="22"/>
                <w:szCs w:val="22"/>
              </w:rPr>
              <w:br/>
            </w:r>
            <w:r w:rsidRPr="0029268C">
              <w:rPr>
                <w:rStyle w:val="wb-invisible"/>
                <w:rFonts w:eastAsia="Times New Roman" w:cs="Times New Roman"/>
                <w:b/>
                <w:bCs/>
                <w:color w:val="333333"/>
                <w:sz w:val="22"/>
                <w:szCs w:val="22"/>
              </w:rPr>
              <w:t>Table summary</w:t>
            </w:r>
            <w:r w:rsidRPr="0029268C">
              <w:rPr>
                <w:rFonts w:eastAsia="Times New Roman" w:cs="Times New Roman"/>
                <w:b/>
                <w:bCs/>
                <w:color w:val="333333"/>
                <w:sz w:val="22"/>
                <w:szCs w:val="22"/>
              </w:rPr>
              <w:br/>
            </w:r>
            <w:r w:rsidRPr="0029268C">
              <w:rPr>
                <w:rStyle w:val="wb-invisible"/>
                <w:rFonts w:eastAsia="Times New Roman" w:cs="Times New Roman"/>
                <w:b/>
                <w:bCs/>
                <w:color w:val="333333"/>
                <w:sz w:val="22"/>
                <w:szCs w:val="22"/>
              </w:rPr>
              <w:t xml:space="preserve">This table displays the results of Employment trends of women and men aged 15 and over. The first row header is Year. </w:t>
            </w:r>
            <w:proofErr w:type="gramStart"/>
            <w:r w:rsidRPr="0029268C">
              <w:rPr>
                <w:rStyle w:val="wb-invisible"/>
                <w:rFonts w:eastAsia="Times New Roman" w:cs="Times New Roman"/>
                <w:b/>
                <w:bCs/>
                <w:color w:val="333333"/>
                <w:sz w:val="22"/>
                <w:szCs w:val="22"/>
              </w:rPr>
              <w:t>The following columns are grouped by Women aged 15 years</w:t>
            </w:r>
            <w:proofErr w:type="gramEnd"/>
            <w:r w:rsidRPr="0029268C">
              <w:rPr>
                <w:rStyle w:val="wb-invisible"/>
                <w:rFonts w:eastAsia="Times New Roman" w:cs="Times New Roman"/>
                <w:b/>
                <w:bCs/>
                <w:color w:val="333333"/>
                <w:sz w:val="22"/>
                <w:szCs w:val="22"/>
              </w:rPr>
              <w:t xml:space="preserve"> and over, Men aged 15 years and over each listed with the respective numbers in thousands and percentages as series appearing as column headers. The final column group is Women as a percentage of total employment with a series of percentage.</w:t>
            </w:r>
          </w:p>
        </w:tc>
      </w:tr>
      <w:tr w:rsidR="00D02F99" w:rsidTr="00163ADB">
        <w:tc>
          <w:tcPr>
            <w:tcW w:w="0" w:type="auto"/>
            <w:vMerge w:val="restart"/>
            <w:tcBorders>
              <w:top w:val="single" w:sz="6" w:space="0" w:color="000000"/>
              <w:left w:val="single" w:sz="6" w:space="0" w:color="000000"/>
              <w:bottom w:val="single" w:sz="6" w:space="0" w:color="000000"/>
              <w:right w:val="single" w:sz="6" w:space="0" w:color="000000"/>
            </w:tcBorders>
            <w:shd w:val="clear" w:color="auto" w:fill="DDEEFF"/>
            <w:tcMar>
              <w:top w:w="30" w:type="dxa"/>
              <w:left w:w="30" w:type="dxa"/>
              <w:bottom w:w="30" w:type="dxa"/>
              <w:right w:w="30" w:type="dxa"/>
            </w:tcMar>
            <w:hideMark/>
          </w:tcPr>
          <w:p w:rsidR="00D02F99" w:rsidRDefault="00D02F99" w:rsidP="00163ADB">
            <w:pPr>
              <w:rPr>
                <w:rFonts w:ascii="Times" w:eastAsia="Times New Roman" w:hAnsi="Times" w:cs="Times New Roman"/>
                <w:b/>
                <w:bCs/>
              </w:rPr>
            </w:pPr>
            <w:r>
              <w:rPr>
                <w:rFonts w:eastAsia="Times New Roman" w:cs="Times New Roman"/>
                <w:b/>
                <w:bCs/>
              </w:rPr>
              <w:t>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EEFF"/>
            <w:tcMar>
              <w:top w:w="30" w:type="dxa"/>
              <w:left w:w="30" w:type="dxa"/>
              <w:bottom w:w="30" w:type="dxa"/>
              <w:right w:w="30" w:type="dxa"/>
            </w:tcMar>
            <w:hideMark/>
          </w:tcPr>
          <w:p w:rsidR="00D02F99" w:rsidRDefault="00D02F99" w:rsidP="00163ADB">
            <w:pPr>
              <w:jc w:val="center"/>
              <w:rPr>
                <w:rFonts w:ascii="Times" w:eastAsia="Times New Roman" w:hAnsi="Times" w:cs="Times New Roman"/>
                <w:b/>
                <w:bCs/>
              </w:rPr>
            </w:pPr>
            <w:r>
              <w:rPr>
                <w:rFonts w:eastAsia="Times New Roman" w:cs="Times New Roman"/>
                <w:b/>
                <w:bCs/>
              </w:rPr>
              <w:t>Women aged 15</w:t>
            </w:r>
            <w:r>
              <w:rPr>
                <w:rFonts w:eastAsia="Times New Roman" w:cs="Times New Roman"/>
                <w:b/>
                <w:bCs/>
              </w:rPr>
              <w:br/>
              <w:t>years and over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EEFF"/>
            <w:tcMar>
              <w:top w:w="30" w:type="dxa"/>
              <w:left w:w="30" w:type="dxa"/>
              <w:bottom w:w="30" w:type="dxa"/>
              <w:right w:w="30" w:type="dxa"/>
            </w:tcMar>
            <w:hideMark/>
          </w:tcPr>
          <w:p w:rsidR="00D02F99" w:rsidRDefault="00D02F99" w:rsidP="00163ADB">
            <w:pPr>
              <w:jc w:val="center"/>
              <w:rPr>
                <w:rFonts w:ascii="Times" w:eastAsia="Times New Roman" w:hAnsi="Times" w:cs="Times New Roman"/>
                <w:b/>
                <w:bCs/>
              </w:rPr>
            </w:pPr>
            <w:r>
              <w:rPr>
                <w:rFonts w:eastAsia="Times New Roman" w:cs="Times New Roman"/>
                <w:b/>
                <w:bCs/>
              </w:rPr>
              <w:t>Men aged 15</w:t>
            </w:r>
            <w:r>
              <w:rPr>
                <w:rFonts w:eastAsia="Times New Roman" w:cs="Times New Roman"/>
                <w:b/>
                <w:bCs/>
              </w:rPr>
              <w:br/>
              <w:t>years and over</w:t>
            </w:r>
          </w:p>
        </w:tc>
        <w:tc>
          <w:tcPr>
            <w:tcW w:w="0" w:type="auto"/>
            <w:tcBorders>
              <w:top w:val="single" w:sz="6" w:space="0" w:color="000000"/>
              <w:left w:val="single" w:sz="6" w:space="0" w:color="000000"/>
              <w:bottom w:val="single" w:sz="6" w:space="0" w:color="000000"/>
              <w:right w:val="single" w:sz="6" w:space="0" w:color="000000"/>
            </w:tcBorders>
            <w:shd w:val="clear" w:color="auto" w:fill="DDEEFF"/>
            <w:tcMar>
              <w:top w:w="30" w:type="dxa"/>
              <w:left w:w="30" w:type="dxa"/>
              <w:bottom w:w="30" w:type="dxa"/>
              <w:right w:w="30" w:type="dxa"/>
            </w:tcMar>
            <w:hideMark/>
          </w:tcPr>
          <w:p w:rsidR="00D02F99" w:rsidRDefault="00D02F99" w:rsidP="00163ADB">
            <w:pPr>
              <w:jc w:val="right"/>
              <w:rPr>
                <w:rFonts w:ascii="Times" w:eastAsia="Times New Roman" w:hAnsi="Times" w:cs="Times New Roman"/>
                <w:b/>
                <w:bCs/>
              </w:rPr>
            </w:pPr>
            <w:r>
              <w:rPr>
                <w:rFonts w:eastAsia="Times New Roman" w:cs="Times New Roman"/>
                <w:b/>
                <w:bCs/>
              </w:rPr>
              <w:t>Women as a percentage</w:t>
            </w:r>
            <w:r>
              <w:rPr>
                <w:rFonts w:eastAsia="Times New Roman" w:cs="Times New Roman"/>
                <w:b/>
                <w:bCs/>
              </w:rPr>
              <w:br/>
              <w:t>of total employment</w:t>
            </w:r>
          </w:p>
        </w:tc>
      </w:tr>
      <w:tr w:rsidR="00D02F99" w:rsidTr="00163AD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2F99" w:rsidRDefault="00D02F99" w:rsidP="00163ADB">
            <w:pPr>
              <w:rPr>
                <w:rFonts w:ascii="Times" w:eastAsia="Times New Roman" w:hAnsi="Times" w:cs="Times New Roman"/>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DDEEFF"/>
            <w:tcMar>
              <w:top w:w="30" w:type="dxa"/>
              <w:left w:w="30" w:type="dxa"/>
              <w:bottom w:w="30" w:type="dxa"/>
              <w:right w:w="30" w:type="dxa"/>
            </w:tcMar>
            <w:hideMark/>
          </w:tcPr>
          <w:p w:rsidR="00D02F99" w:rsidRDefault="00D02F99" w:rsidP="00163ADB">
            <w:pPr>
              <w:jc w:val="right"/>
              <w:rPr>
                <w:rFonts w:ascii="Times" w:eastAsia="Times New Roman" w:hAnsi="Times" w:cs="Times New Roman"/>
                <w:b/>
                <w:bCs/>
              </w:rPr>
            </w:pPr>
            <w:proofErr w:type="gramStart"/>
            <w:r>
              <w:rPr>
                <w:rFonts w:eastAsia="Times New Roman" w:cs="Times New Roman"/>
                <w:b/>
                <w:bCs/>
              </w:rPr>
              <w:t>thousands</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DDEEFF"/>
            <w:tcMar>
              <w:top w:w="30" w:type="dxa"/>
              <w:left w:w="30" w:type="dxa"/>
              <w:bottom w:w="30" w:type="dxa"/>
              <w:right w:w="30" w:type="dxa"/>
            </w:tcMar>
            <w:hideMark/>
          </w:tcPr>
          <w:p w:rsidR="00D02F99" w:rsidRDefault="00D02F99" w:rsidP="00163ADB">
            <w:pPr>
              <w:jc w:val="right"/>
              <w:rPr>
                <w:rFonts w:ascii="Times" w:eastAsia="Times New Roman" w:hAnsi="Times" w:cs="Times New Roman"/>
                <w:b/>
                <w:bCs/>
              </w:rPr>
            </w:pPr>
            <w:proofErr w:type="gramStart"/>
            <w:r>
              <w:rPr>
                <w:rFonts w:eastAsia="Times New Roman" w:cs="Times New Roman"/>
                <w:b/>
                <w:bCs/>
              </w:rPr>
              <w:t>percentage</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DDEEFF"/>
            <w:tcMar>
              <w:top w:w="30" w:type="dxa"/>
              <w:left w:w="30" w:type="dxa"/>
              <w:bottom w:w="30" w:type="dxa"/>
              <w:right w:w="30" w:type="dxa"/>
            </w:tcMar>
            <w:hideMark/>
          </w:tcPr>
          <w:p w:rsidR="00D02F99" w:rsidRDefault="00D02F99" w:rsidP="00163ADB">
            <w:pPr>
              <w:jc w:val="right"/>
              <w:rPr>
                <w:rFonts w:ascii="Times" w:eastAsia="Times New Roman" w:hAnsi="Times" w:cs="Times New Roman"/>
                <w:b/>
                <w:bCs/>
              </w:rPr>
            </w:pPr>
            <w:proofErr w:type="gramStart"/>
            <w:r>
              <w:rPr>
                <w:rFonts w:eastAsia="Times New Roman" w:cs="Times New Roman"/>
                <w:b/>
                <w:bCs/>
              </w:rPr>
              <w:t>thousands</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DDEEFF"/>
            <w:tcMar>
              <w:top w:w="30" w:type="dxa"/>
              <w:left w:w="30" w:type="dxa"/>
              <w:bottom w:w="30" w:type="dxa"/>
              <w:right w:w="30" w:type="dxa"/>
            </w:tcMar>
            <w:hideMark/>
          </w:tcPr>
          <w:p w:rsidR="00D02F99" w:rsidRDefault="00D02F99" w:rsidP="00163ADB">
            <w:pPr>
              <w:jc w:val="right"/>
              <w:rPr>
                <w:rFonts w:ascii="Times" w:eastAsia="Times New Roman" w:hAnsi="Times" w:cs="Times New Roman"/>
                <w:b/>
                <w:bCs/>
              </w:rPr>
            </w:pPr>
            <w:proofErr w:type="gramStart"/>
            <w:r>
              <w:rPr>
                <w:rFonts w:eastAsia="Times New Roman" w:cs="Times New Roman"/>
                <w:b/>
                <w:bCs/>
              </w:rPr>
              <w:t>percentage</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DDEEFF"/>
            <w:tcMar>
              <w:top w:w="30" w:type="dxa"/>
              <w:left w:w="30" w:type="dxa"/>
              <w:bottom w:w="30" w:type="dxa"/>
              <w:right w:w="30" w:type="dxa"/>
            </w:tcMar>
            <w:hideMark/>
          </w:tcPr>
          <w:p w:rsidR="00D02F99" w:rsidRDefault="00D02F99" w:rsidP="00163ADB">
            <w:pPr>
              <w:jc w:val="right"/>
              <w:rPr>
                <w:rFonts w:ascii="Times" w:eastAsia="Times New Roman" w:hAnsi="Times" w:cs="Times New Roman"/>
                <w:b/>
                <w:bCs/>
              </w:rPr>
            </w:pPr>
            <w:proofErr w:type="gramStart"/>
            <w:r>
              <w:rPr>
                <w:rFonts w:eastAsia="Times New Roman" w:cs="Times New Roman"/>
                <w:b/>
                <w:bCs/>
              </w:rPr>
              <w:t>percentage</w:t>
            </w:r>
            <w:proofErr w:type="gramEnd"/>
          </w:p>
        </w:tc>
      </w:tr>
      <w:tr w:rsidR="00D02F99" w:rsidTr="00163ADB">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1976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3,618.2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41.9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6,129.3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72.7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37.1</w:t>
            </w:r>
          </w:p>
        </w:tc>
      </w:tr>
      <w:tr w:rsidR="00D02F99" w:rsidTr="00163ADB">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1981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4,556.6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47.7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6,748.4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72.8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40.3</w:t>
            </w:r>
          </w:p>
        </w:tc>
      </w:tr>
      <w:tr w:rsidR="00D02F99" w:rsidTr="00163ADB">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1986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5,138.2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50.3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6,870.3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69.6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42.8</w:t>
            </w:r>
          </w:p>
        </w:tc>
      </w:tr>
      <w:tr w:rsidR="00D02F99" w:rsidTr="00163ADB">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1991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5,790.5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52.8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7,066.9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66.9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45.0</w:t>
            </w:r>
          </w:p>
        </w:tc>
      </w:tr>
      <w:tr w:rsidR="00D02F99" w:rsidTr="00163ADB">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1996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6,099.0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7,322.4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45.4</w:t>
            </w:r>
          </w:p>
        </w:tc>
      </w:tr>
      <w:tr w:rsidR="00D02F99" w:rsidTr="00163ADB">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2001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6,910.3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55.6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8,035.8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66.8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46.2</w:t>
            </w:r>
          </w:p>
        </w:tc>
      </w:tr>
      <w:tr w:rsidR="00D02F99" w:rsidTr="00163ADB">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2006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7,757.2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58.3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8,727.1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67.7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47.1</w:t>
            </w:r>
          </w:p>
        </w:tc>
      </w:tr>
      <w:tr w:rsidR="00D02F99" w:rsidTr="00163ADB">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2007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7,977.5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59.1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8,888.9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68.0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47.3</w:t>
            </w:r>
          </w:p>
        </w:tc>
      </w:tr>
      <w:tr w:rsidR="00D02F99" w:rsidTr="00163ADB">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2008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8,104.5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59.3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9,021.3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68.1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47.3</w:t>
            </w:r>
          </w:p>
        </w:tc>
      </w:tr>
      <w:tr w:rsidR="00D02F99" w:rsidTr="00163ADB">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2009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8,076.2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58.3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8,772.7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65.2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jc w:val="right"/>
              <w:rPr>
                <w:rFonts w:ascii="Times" w:eastAsia="Times New Roman" w:hAnsi="Times" w:cs="Times New Roman"/>
              </w:rPr>
            </w:pPr>
            <w:r>
              <w:rPr>
                <w:rFonts w:eastAsia="Times New Roman" w:cs="Times New Roman"/>
              </w:rPr>
              <w:t>47.9</w:t>
            </w:r>
          </w:p>
        </w:tc>
      </w:tr>
      <w:tr w:rsidR="00D02F99" w:rsidTr="00163ADB">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02F99" w:rsidRDefault="00D02F99" w:rsidP="00163ADB">
            <w:pPr>
              <w:rPr>
                <w:rFonts w:ascii="Times" w:eastAsia="Times New Roman" w:hAnsi="Times" w:cs="Times New Roman"/>
              </w:rPr>
            </w:pPr>
            <w:r>
              <w:rPr>
                <w:rStyle w:val="Strong"/>
                <w:rFonts w:eastAsia="Times New Roman" w:cs="Times New Roman"/>
              </w:rPr>
              <w:t>Source:</w:t>
            </w:r>
            <w:r>
              <w:rPr>
                <w:rStyle w:val="apple-converted-space"/>
                <w:rFonts w:eastAsia="Times New Roman" w:cs="Times New Roman"/>
              </w:rPr>
              <w:t> </w:t>
            </w:r>
            <w:r>
              <w:rPr>
                <w:rFonts w:eastAsia="Times New Roman" w:cs="Times New Roman"/>
              </w:rPr>
              <w:t>Statistics Canada, Labour Force Survey.</w:t>
            </w:r>
          </w:p>
        </w:tc>
      </w:tr>
    </w:tbl>
    <w:p w:rsidR="00D02F99" w:rsidRDefault="00D02F99" w:rsidP="00D02F99">
      <w:pPr>
        <w:shd w:val="clear" w:color="auto" w:fill="F9F9F9"/>
        <w:rPr>
          <w:rFonts w:ascii="Arial" w:eastAsia="Times New Roman" w:hAnsi="Arial" w:cs="Arial"/>
          <w:color w:val="333333"/>
        </w:rPr>
      </w:pPr>
      <w:hyperlink r:id="rId6" w:history="1">
        <w:r>
          <w:rPr>
            <w:rStyle w:val="Hyperlink"/>
            <w:rFonts w:ascii="Arial" w:eastAsia="Times New Roman" w:hAnsi="Arial" w:cs="Arial"/>
            <w:color w:val="335075"/>
            <w:u w:val="none"/>
            <w:bdr w:val="outset" w:sz="6" w:space="5" w:color="DCDEE1" w:frame="1"/>
            <w:shd w:val="clear" w:color="auto" w:fill="EAEBED"/>
          </w:rPr>
          <w:t>Report a problem or mistake on this page</w:t>
        </w:r>
      </w:hyperlink>
    </w:p>
    <w:p w:rsidR="00D02F99" w:rsidRDefault="00D02F99" w:rsidP="00D02F99">
      <w:pPr>
        <w:shd w:val="clear" w:color="auto" w:fill="F9F9F9"/>
        <w:jc w:val="right"/>
        <w:rPr>
          <w:rFonts w:ascii="Arial" w:eastAsia="Times New Roman" w:hAnsi="Arial" w:cs="Arial"/>
          <w:color w:val="333333"/>
        </w:rPr>
      </w:pPr>
      <w:hyperlink r:id="rId7" w:anchor="shr-pg-pnl6" w:history="1">
        <w:r>
          <w:rPr>
            <w:rStyle w:val="Hyperlink"/>
            <w:rFonts w:ascii="Arial" w:eastAsia="Times New Roman" w:hAnsi="Arial" w:cs="Arial"/>
            <w:color w:val="335075"/>
            <w:u w:val="none"/>
            <w:bdr w:val="outset" w:sz="6" w:space="5" w:color="DCDEE1" w:frame="1"/>
            <w:shd w:val="clear" w:color="auto" w:fill="EAEBED"/>
          </w:rPr>
          <w:t>Share this page</w:t>
        </w:r>
      </w:hyperlink>
    </w:p>
    <w:p w:rsidR="00A21E45" w:rsidRDefault="00A21E45">
      <w:bookmarkStart w:id="0" w:name="_GoBack"/>
      <w:bookmarkEnd w:id="0"/>
    </w:p>
    <w:sectPr w:rsidR="00A21E45" w:rsidSect="006B2B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7A6A"/>
    <w:multiLevelType w:val="hybridMultilevel"/>
    <w:tmpl w:val="F1EA687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99"/>
    <w:rsid w:val="006B2B15"/>
    <w:rsid w:val="00A21E45"/>
    <w:rsid w:val="00D02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90AE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F99"/>
    <w:pPr>
      <w:ind w:left="720"/>
      <w:contextualSpacing/>
    </w:pPr>
  </w:style>
  <w:style w:type="character" w:styleId="Hyperlink">
    <w:name w:val="Hyperlink"/>
    <w:basedOn w:val="DefaultParagraphFont"/>
    <w:uiPriority w:val="99"/>
    <w:unhideWhenUsed/>
    <w:rsid w:val="00D02F99"/>
    <w:rPr>
      <w:color w:val="0000FF" w:themeColor="hyperlink"/>
      <w:u w:val="single"/>
    </w:rPr>
  </w:style>
  <w:style w:type="character" w:customStyle="1" w:styleId="apple-converted-space">
    <w:name w:val="apple-converted-space"/>
    <w:basedOn w:val="DefaultParagraphFont"/>
    <w:rsid w:val="00D02F99"/>
  </w:style>
  <w:style w:type="character" w:customStyle="1" w:styleId="wb-invisible">
    <w:name w:val="wb-invisible"/>
    <w:basedOn w:val="DefaultParagraphFont"/>
    <w:rsid w:val="00D02F99"/>
  </w:style>
  <w:style w:type="character" w:styleId="Strong">
    <w:name w:val="Strong"/>
    <w:basedOn w:val="DefaultParagraphFont"/>
    <w:uiPriority w:val="22"/>
    <w:qFormat/>
    <w:rsid w:val="00D02F9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F99"/>
    <w:pPr>
      <w:ind w:left="720"/>
      <w:contextualSpacing/>
    </w:pPr>
  </w:style>
  <w:style w:type="character" w:styleId="Hyperlink">
    <w:name w:val="Hyperlink"/>
    <w:basedOn w:val="DefaultParagraphFont"/>
    <w:uiPriority w:val="99"/>
    <w:unhideWhenUsed/>
    <w:rsid w:val="00D02F99"/>
    <w:rPr>
      <w:color w:val="0000FF" w:themeColor="hyperlink"/>
      <w:u w:val="single"/>
    </w:rPr>
  </w:style>
  <w:style w:type="character" w:customStyle="1" w:styleId="apple-converted-space">
    <w:name w:val="apple-converted-space"/>
    <w:basedOn w:val="DefaultParagraphFont"/>
    <w:rsid w:val="00D02F99"/>
  </w:style>
  <w:style w:type="character" w:customStyle="1" w:styleId="wb-invisible">
    <w:name w:val="wb-invisible"/>
    <w:basedOn w:val="DefaultParagraphFont"/>
    <w:rsid w:val="00D02F99"/>
  </w:style>
  <w:style w:type="character" w:styleId="Strong">
    <w:name w:val="Strong"/>
    <w:basedOn w:val="DefaultParagraphFont"/>
    <w:uiPriority w:val="22"/>
    <w:qFormat/>
    <w:rsid w:val="00D02F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anada.ca/en/report-problem.html" TargetMode="External"/><Relationship Id="rId7" Type="http://schemas.openxmlformats.org/officeDocument/2006/relationships/hyperlink" Target="http://www.statcan.gc.ca/pub/89-503-x/2010001/article/11387/tbl/tbl001-eng.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1121</Characters>
  <Application>Microsoft Macintosh Word</Application>
  <DocSecurity>0</DocSecurity>
  <Lines>9</Lines>
  <Paragraphs>2</Paragraphs>
  <ScaleCrop>false</ScaleCrop>
  <Company>ubc</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McCaffrey</dc:creator>
  <cp:keywords/>
  <dc:description/>
  <cp:lastModifiedBy>Danielle McCaffrey</cp:lastModifiedBy>
  <cp:revision>1</cp:revision>
  <dcterms:created xsi:type="dcterms:W3CDTF">2017-04-05T21:38:00Z</dcterms:created>
  <dcterms:modified xsi:type="dcterms:W3CDTF">2017-04-05T21:38:00Z</dcterms:modified>
</cp:coreProperties>
</file>